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0778CC" w:rsidRPr="004C5A0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6122" w:rsidRDefault="004D6122" w:rsidP="004D6122">
            <w:pPr>
              <w:jc w:val="center"/>
              <w:rPr>
                <w:b/>
                <w:sz w:val="20"/>
              </w:rPr>
            </w:pPr>
          </w:p>
          <w:p w:rsidR="0036014C" w:rsidRPr="004D6122" w:rsidRDefault="004D6122" w:rsidP="004D6122">
            <w:pPr>
              <w:jc w:val="center"/>
              <w:rPr>
                <w:b/>
                <w:sz w:val="20"/>
              </w:rPr>
            </w:pPr>
            <w:r w:rsidRPr="004D6122">
              <w:rPr>
                <w:b/>
                <w:sz w:val="20"/>
              </w:rPr>
              <w:t>INTENDED USE</w:t>
            </w:r>
          </w:p>
          <w:p w:rsidR="0077647D" w:rsidRPr="0077647D" w:rsidRDefault="0077647D" w:rsidP="0077647D">
            <w:pPr>
              <w:rPr>
                <w:sz w:val="20"/>
                <w:lang w:val="en-NZ"/>
              </w:rPr>
            </w:pPr>
          </w:p>
          <w:p w:rsidR="00A62DFC" w:rsidRDefault="0077647D" w:rsidP="0077647D">
            <w:pPr>
              <w:rPr>
                <w:sz w:val="20"/>
                <w:lang w:val="en-NZ"/>
              </w:rPr>
            </w:pPr>
            <w:r w:rsidRPr="0077647D">
              <w:rPr>
                <w:sz w:val="20"/>
                <w:lang w:val="en-NZ"/>
              </w:rPr>
              <w:t xml:space="preserve"> </w:t>
            </w:r>
            <w:r>
              <w:rPr>
                <w:sz w:val="20"/>
                <w:lang w:val="en-NZ"/>
              </w:rPr>
              <w:t xml:space="preserve">The </w:t>
            </w:r>
            <w:r w:rsidRPr="00BD24CA">
              <w:rPr>
                <w:bCs/>
                <w:sz w:val="20"/>
                <w:lang w:val="en-NZ"/>
              </w:rPr>
              <w:t>ArmorZone</w:t>
            </w:r>
            <w:r w:rsidRPr="0077647D">
              <w:rPr>
                <w:sz w:val="20"/>
                <w:lang w:val="en-NZ"/>
              </w:rPr>
              <w:t>™ TL-2 barrier</w:t>
            </w:r>
            <w:r w:rsidR="00F66242">
              <w:rPr>
                <w:sz w:val="20"/>
                <w:lang w:val="en-NZ"/>
              </w:rPr>
              <w:t xml:space="preserve"> (</w:t>
            </w:r>
            <w:r w:rsidR="00F66242" w:rsidRPr="00F66242">
              <w:rPr>
                <w:b/>
                <w:sz w:val="20"/>
                <w:lang w:val="en-NZ"/>
              </w:rPr>
              <w:t>SWM17</w:t>
            </w:r>
            <w:r w:rsidR="00F66242">
              <w:rPr>
                <w:sz w:val="20"/>
                <w:lang w:val="en-NZ"/>
              </w:rPr>
              <w:t>)</w:t>
            </w:r>
            <w:r w:rsidRPr="0077647D">
              <w:rPr>
                <w:sz w:val="20"/>
                <w:lang w:val="en-NZ"/>
              </w:rPr>
              <w:t xml:space="preserve"> is a high performing plastic water filled barrier designed to provide work zone barrier protection to temporary construction sites and other miscellaneous roadside activities. The water-filled nature of the barrier simplifies its deployment and transportation while increasing safety during the installation process as the empty barriers only weighs 58 kg and </w:t>
            </w:r>
            <w:r w:rsidR="00F66242">
              <w:rPr>
                <w:sz w:val="20"/>
                <w:lang w:val="en-NZ"/>
              </w:rPr>
              <w:t>can be</w:t>
            </w:r>
            <w:r w:rsidRPr="0077647D">
              <w:rPr>
                <w:sz w:val="20"/>
                <w:lang w:val="en-NZ"/>
              </w:rPr>
              <w:t xml:space="preserve"> easily handled by two operators.</w:t>
            </w:r>
          </w:p>
          <w:p w:rsidR="00F66242" w:rsidRPr="00F66242" w:rsidRDefault="00F66242" w:rsidP="00F66242">
            <w:pPr>
              <w:rPr>
                <w:sz w:val="20"/>
                <w:lang w:val="en-NZ"/>
              </w:rPr>
            </w:pPr>
          </w:p>
          <w:p w:rsidR="00F66242" w:rsidRPr="004C5A0C" w:rsidRDefault="00F66242" w:rsidP="00F66242">
            <w:pPr>
              <w:rPr>
                <w:sz w:val="20"/>
              </w:rPr>
            </w:pPr>
            <w:r w:rsidRPr="00F66242">
              <w:rPr>
                <w:sz w:val="20"/>
                <w:lang w:val="en-NZ"/>
              </w:rPr>
              <w:t xml:space="preserve"> </w:t>
            </w:r>
            <w:r w:rsidRPr="00BD24CA">
              <w:rPr>
                <w:bCs/>
                <w:sz w:val="20"/>
                <w:lang w:val="en-NZ"/>
              </w:rPr>
              <w:t>ArmorZone</w:t>
            </w:r>
            <w:r w:rsidRPr="00F66242">
              <w:rPr>
                <w:sz w:val="20"/>
                <w:lang w:val="en-NZ"/>
              </w:rPr>
              <w:t xml:space="preserve">™ deployment involves interlocking the 2m long units with a unique ‘twin pin’ connecting rod and filling each barrier with 440L of water. </w:t>
            </w:r>
            <w:r w:rsidRPr="00BD24CA">
              <w:rPr>
                <w:bCs/>
                <w:sz w:val="20"/>
                <w:lang w:val="en-NZ"/>
              </w:rPr>
              <w:t>ArmorZone</w:t>
            </w:r>
            <w:r w:rsidRPr="00F66242">
              <w:rPr>
                <w:sz w:val="20"/>
                <w:lang w:val="en-NZ"/>
              </w:rPr>
              <w:t>™ can be deployed straight or with low curvature, on either roadside or median applications</w:t>
            </w:r>
            <w:r>
              <w:rPr>
                <w:sz w:val="20"/>
                <w:lang w:val="en-NZ"/>
              </w:rPr>
              <w:t>.</w:t>
            </w:r>
          </w:p>
          <w:p w:rsidR="00A62DFC" w:rsidRPr="004C5A0C" w:rsidRDefault="00A62DFC" w:rsidP="00A62DFC">
            <w:pPr>
              <w:rPr>
                <w:sz w:val="20"/>
                <w:lang w:val="en-GB"/>
              </w:rPr>
            </w:pPr>
          </w:p>
          <w:p w:rsidR="0036014C" w:rsidRPr="004C5A0C" w:rsidRDefault="00F66242" w:rsidP="0036014C">
            <w:pPr>
              <w:rPr>
                <w:sz w:val="20"/>
              </w:rPr>
            </w:pPr>
            <w:r>
              <w:rPr>
                <w:b/>
                <w:sz w:val="20"/>
              </w:rPr>
              <w:t>SWM17</w:t>
            </w:r>
            <w:r w:rsidR="004C5A0C" w:rsidRPr="004C5A0C">
              <w:rPr>
                <w:sz w:val="20"/>
              </w:rPr>
              <w:t xml:space="preserve"> </w:t>
            </w:r>
            <w:r w:rsidR="0036014C" w:rsidRPr="004C5A0C">
              <w:rPr>
                <w:sz w:val="20"/>
              </w:rPr>
              <w:t xml:space="preserve">is a </w:t>
            </w:r>
            <w:r>
              <w:rPr>
                <w:sz w:val="20"/>
              </w:rPr>
              <w:t xml:space="preserve">MASH </w:t>
            </w:r>
            <w:r w:rsidR="0036014C" w:rsidRPr="004C5A0C">
              <w:rPr>
                <w:sz w:val="20"/>
              </w:rPr>
              <w:t xml:space="preserve">Test Level </w:t>
            </w:r>
            <w:r>
              <w:rPr>
                <w:sz w:val="20"/>
              </w:rPr>
              <w:t>2</w:t>
            </w:r>
            <w:r w:rsidR="0036014C" w:rsidRPr="004C5A0C">
              <w:rPr>
                <w:sz w:val="20"/>
              </w:rPr>
              <w:t xml:space="preserve"> </w:t>
            </w:r>
            <w:r w:rsidR="00015346" w:rsidRPr="004C5A0C">
              <w:rPr>
                <w:sz w:val="20"/>
              </w:rPr>
              <w:t xml:space="preserve">accepted </w:t>
            </w:r>
            <w:r>
              <w:rPr>
                <w:sz w:val="20"/>
              </w:rPr>
              <w:t>barrier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FEATURES AND SPECIFICATIONS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BD648D" w:rsidRPr="00BD648D" w:rsidRDefault="00BD648D" w:rsidP="00BD64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D648D">
              <w:rPr>
                <w:rFonts w:ascii="Times New Roman" w:hAnsi="Times New Roman"/>
                <w:sz w:val="20"/>
                <w:szCs w:val="20"/>
              </w:rPr>
              <w:t>Exceptionally good vehicle control and low deflection</w:t>
            </w:r>
          </w:p>
          <w:p w:rsidR="00BD648D" w:rsidRPr="00BD648D" w:rsidRDefault="00BD648D" w:rsidP="00BD64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D648D">
              <w:rPr>
                <w:rFonts w:ascii="Times New Roman" w:hAnsi="Times New Roman"/>
                <w:sz w:val="20"/>
                <w:szCs w:val="20"/>
              </w:rPr>
              <w:t>Available NCHRP 350 TL-2 End treatment</w:t>
            </w:r>
            <w:r w:rsidR="00E744C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744C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E744C6" w:rsidRPr="00E744C6">
              <w:rPr>
                <w:rFonts w:ascii="Times New Roman" w:hAnsi="Times New Roman"/>
                <w:b/>
                <w:sz w:val="20"/>
                <w:szCs w:val="20"/>
              </w:rPr>
              <w:t>CI29</w:t>
            </w:r>
            <w:r w:rsidR="00E744C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D648D" w:rsidRPr="00BD648D" w:rsidRDefault="00BD648D" w:rsidP="00BD64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D648D">
              <w:rPr>
                <w:rFonts w:ascii="Times New Roman" w:hAnsi="Times New Roman"/>
                <w:sz w:val="20"/>
                <w:szCs w:val="20"/>
              </w:rPr>
              <w:t>Easy install and transportation</w:t>
            </w:r>
          </w:p>
          <w:p w:rsidR="00BD648D" w:rsidRPr="00BD648D" w:rsidRDefault="00BD648D" w:rsidP="00BD64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D648D">
              <w:rPr>
                <w:rFonts w:ascii="Times New Roman" w:hAnsi="Times New Roman"/>
                <w:sz w:val="20"/>
                <w:szCs w:val="20"/>
              </w:rPr>
              <w:t>No external steel structure</w:t>
            </w:r>
          </w:p>
          <w:p w:rsidR="00BD648D" w:rsidRPr="00673639" w:rsidRDefault="00673639" w:rsidP="00BD64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UV </w:t>
            </w:r>
            <w:r w:rsidR="00BD648D" w:rsidRPr="00673639">
              <w:rPr>
                <w:rFonts w:ascii="Times New Roman" w:hAnsi="Times New Roman"/>
                <w:sz w:val="20"/>
                <w:szCs w:val="20"/>
              </w:rPr>
              <w:t>Stabilised HDPE modules strong enough to absorb nuisance impact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648D" w:rsidRPr="00673639">
              <w:rPr>
                <w:rFonts w:ascii="Times New Roman" w:hAnsi="Times New Roman"/>
                <w:sz w:val="20"/>
                <w:szCs w:val="20"/>
              </w:rPr>
              <w:t>without repair</w:t>
            </w:r>
          </w:p>
          <w:p w:rsidR="00673639" w:rsidRDefault="00BD648D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D648D">
              <w:rPr>
                <w:rFonts w:ascii="Times New Roman" w:hAnsi="Times New Roman"/>
                <w:sz w:val="20"/>
                <w:szCs w:val="20"/>
              </w:rPr>
              <w:t>Environmentally friendly – 100% recyclable</w:t>
            </w:r>
          </w:p>
          <w:p w:rsidR="00673639" w:rsidRDefault="00BD648D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3639">
              <w:rPr>
                <w:rFonts w:ascii="Times New Roman" w:hAnsi="Times New Roman"/>
                <w:sz w:val="20"/>
                <w:szCs w:val="20"/>
              </w:rPr>
              <w:t>120 m/h deployment rate</w:t>
            </w:r>
          </w:p>
          <w:p w:rsidR="00673639" w:rsidRPr="00673639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3639">
              <w:rPr>
                <w:rFonts w:ascii="Times New Roman" w:hAnsi="Times New Roman"/>
                <w:sz w:val="20"/>
                <w:szCs w:val="20"/>
              </w:rPr>
              <w:t>Overall Length</w:t>
            </w:r>
            <w:r w:rsidR="0064555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3639">
              <w:rPr>
                <w:rFonts w:ascii="Times New Roman" w:hAnsi="Times New Roman"/>
                <w:sz w:val="20"/>
                <w:szCs w:val="20"/>
              </w:rPr>
              <w:t>2160mm (effective 2000mm)</w:t>
            </w:r>
          </w:p>
          <w:p w:rsidR="00673639" w:rsidRPr="00645553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45553">
              <w:rPr>
                <w:rFonts w:ascii="Times New Roman" w:hAnsi="Times New Roman"/>
                <w:sz w:val="20"/>
                <w:szCs w:val="20"/>
              </w:rPr>
              <w:t>Height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870mm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>;</w:t>
            </w:r>
            <w:r w:rsidR="006455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Width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450mm</w:t>
            </w:r>
          </w:p>
          <w:p w:rsidR="00673639" w:rsidRPr="00645553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45553">
              <w:rPr>
                <w:rFonts w:ascii="Times New Roman" w:hAnsi="Times New Roman"/>
                <w:sz w:val="20"/>
                <w:szCs w:val="20"/>
              </w:rPr>
              <w:t>Connector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Galvanised Steel</w:t>
            </w:r>
          </w:p>
          <w:p w:rsidR="00673639" w:rsidRPr="00E744C6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E744C6">
              <w:rPr>
                <w:rFonts w:ascii="Times New Roman" w:hAnsi="Times New Roman"/>
                <w:sz w:val="20"/>
                <w:szCs w:val="20"/>
              </w:rPr>
              <w:t>Weight</w:t>
            </w:r>
            <w:r w:rsidR="00645553" w:rsidRPr="00E744C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744C6">
              <w:rPr>
                <w:rFonts w:ascii="Times New Roman" w:hAnsi="Times New Roman"/>
                <w:sz w:val="20"/>
                <w:szCs w:val="20"/>
              </w:rPr>
              <w:t>58kg (508kg when full)</w:t>
            </w:r>
            <w:r w:rsidR="00E744C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744C6">
              <w:rPr>
                <w:rFonts w:ascii="Times New Roman" w:hAnsi="Times New Roman"/>
                <w:sz w:val="20"/>
                <w:szCs w:val="20"/>
              </w:rPr>
              <w:t>Water Required</w:t>
            </w:r>
            <w:r w:rsidR="00E744C6">
              <w:rPr>
                <w:rFonts w:ascii="Times New Roman" w:hAnsi="Times New Roman"/>
                <w:sz w:val="20"/>
                <w:szCs w:val="20"/>
              </w:rPr>
              <w:t>:</w:t>
            </w:r>
            <w:r w:rsidR="00645553" w:rsidRPr="00E744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44C6">
              <w:rPr>
                <w:rFonts w:ascii="Times New Roman" w:hAnsi="Times New Roman"/>
                <w:sz w:val="20"/>
                <w:szCs w:val="20"/>
              </w:rPr>
              <w:t>440L (per unit)</w:t>
            </w:r>
          </w:p>
          <w:p w:rsidR="00673639" w:rsidRPr="00645553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45553">
              <w:rPr>
                <w:rFonts w:ascii="Times New Roman" w:hAnsi="Times New Roman"/>
                <w:sz w:val="20"/>
                <w:szCs w:val="20"/>
              </w:rPr>
              <w:t>Deflection TL-2 (MASH)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>:</w:t>
            </w:r>
            <w:r w:rsidR="00645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4.1m (2270kg, 70kph @ 25°)</w:t>
            </w:r>
          </w:p>
          <w:p w:rsidR="00673639" w:rsidRPr="00645553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45553">
              <w:rPr>
                <w:rFonts w:ascii="Times New Roman" w:hAnsi="Times New Roman"/>
                <w:sz w:val="20"/>
                <w:szCs w:val="20"/>
              </w:rPr>
              <w:t>Length of Need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>:</w:t>
            </w:r>
            <w:r w:rsidR="00645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26.0m</w:t>
            </w:r>
          </w:p>
          <w:p w:rsidR="00E15354" w:rsidRDefault="00673639" w:rsidP="006736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45553">
              <w:rPr>
                <w:rFonts w:ascii="Times New Roman" w:hAnsi="Times New Roman"/>
                <w:sz w:val="20"/>
                <w:szCs w:val="20"/>
              </w:rPr>
              <w:t>Optional End Treatment</w:t>
            </w:r>
            <w:r w:rsidR="00645553" w:rsidRPr="00645553">
              <w:rPr>
                <w:rFonts w:ascii="Times New Roman" w:hAnsi="Times New Roman"/>
                <w:sz w:val="20"/>
                <w:szCs w:val="20"/>
              </w:rPr>
              <w:t>:</w:t>
            </w:r>
            <w:r w:rsidR="00645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553">
              <w:rPr>
                <w:rFonts w:ascii="Times New Roman" w:hAnsi="Times New Roman"/>
                <w:sz w:val="20"/>
                <w:szCs w:val="20"/>
              </w:rPr>
              <w:t>NCHRP 350 TL-2</w:t>
            </w:r>
          </w:p>
          <w:p w:rsidR="003333CF" w:rsidRPr="00645553" w:rsidRDefault="003333CF" w:rsidP="003333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APPROVALS</w:t>
            </w: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  <w:r w:rsidRPr="004C5A0C">
              <w:rPr>
                <w:sz w:val="20"/>
              </w:rPr>
              <w:t xml:space="preserve">FHWA Acceptance Letter:  </w:t>
            </w:r>
            <w:r w:rsidR="003333CF">
              <w:rPr>
                <w:b/>
                <w:sz w:val="20"/>
              </w:rPr>
              <w:t>B-223</w:t>
            </w:r>
            <w:r w:rsidRPr="004C5A0C">
              <w:rPr>
                <w:sz w:val="20"/>
              </w:rPr>
              <w:t xml:space="preserve">. </w:t>
            </w:r>
          </w:p>
          <w:p w:rsidR="000778CC" w:rsidRPr="004C5A0C" w:rsidRDefault="000778CC">
            <w:pPr>
              <w:widowControl w:val="0"/>
              <w:rPr>
                <w:sz w:val="20"/>
              </w:rPr>
            </w:pPr>
          </w:p>
          <w:p w:rsidR="0036014C" w:rsidRPr="004C5A0C" w:rsidRDefault="0036014C">
            <w:pPr>
              <w:widowControl w:val="0"/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rFonts w:ascii="New roman" w:hAnsi="New roman"/>
                <w:b/>
                <w:sz w:val="20"/>
              </w:rPr>
            </w:pPr>
            <w:r w:rsidRPr="004C5A0C">
              <w:rPr>
                <w:rFonts w:ascii="New roman" w:hAnsi="New roman"/>
                <w:b/>
                <w:sz w:val="20"/>
              </w:rPr>
              <w:t>CONTACT INFORMATION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Armorflex International LTD</w:t>
            </w:r>
          </w:p>
          <w:p w:rsidR="00A52292" w:rsidRPr="004C5A0C" w:rsidRDefault="00C44DFE" w:rsidP="0036014C">
            <w:pPr>
              <w:rPr>
                <w:rFonts w:ascii="New roman" w:hAnsi="New roman"/>
                <w:sz w:val="20"/>
              </w:rPr>
            </w:pPr>
            <w:hyperlink r:id="rId8" w:history="1">
              <w:r w:rsidR="00A52292" w:rsidRPr="004C5A0C">
                <w:rPr>
                  <w:rStyle w:val="Hyperlink"/>
                  <w:rFonts w:ascii="New roman" w:hAnsi="New roman"/>
                  <w:sz w:val="20"/>
                </w:rPr>
                <w:t>www.armorflex.co.nz</w:t>
              </w:r>
            </w:hyperlink>
          </w:p>
          <w:p w:rsidR="00A52292" w:rsidRPr="004C5A0C" w:rsidRDefault="00A52292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Telephone: +64 9 4269174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156 Foundry Rd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Silverdale, Auckland 0932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New Zealand</w:t>
            </w:r>
          </w:p>
          <w:p w:rsidR="000778CC" w:rsidRPr="004C5A0C" w:rsidRDefault="000778CC">
            <w:pPr>
              <w:widowControl w:val="0"/>
              <w:rPr>
                <w:sz w:val="20"/>
              </w:rPr>
            </w:pPr>
          </w:p>
          <w:p w:rsidR="000778CC" w:rsidRPr="004C5A0C" w:rsidRDefault="000778CC">
            <w:pPr>
              <w:widowControl w:val="0"/>
              <w:rPr>
                <w:sz w:val="20"/>
              </w:rPr>
            </w:pPr>
          </w:p>
          <w:p w:rsidR="000778CC" w:rsidRPr="004C5A0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0778CC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  <w:rPr>
                <w:sz w:val="20"/>
              </w:rPr>
            </w:pPr>
            <w:r w:rsidRPr="004C5A0C">
              <w:rPr>
                <w:sz w:val="20"/>
              </w:rPr>
              <w:tab/>
            </w:r>
            <w:r w:rsidRPr="004C5A0C">
              <w:rPr>
                <w:sz w:val="20"/>
              </w:rPr>
              <w:tab/>
            </w:r>
          </w:p>
          <w:p w:rsidR="000778CC" w:rsidRPr="004C5A0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0778CC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0"/>
              </w:rPr>
            </w:pPr>
            <w:r w:rsidRPr="004C5A0C">
              <w:rPr>
                <w:sz w:val="20"/>
              </w:rPr>
              <w:tab/>
            </w:r>
          </w:p>
        </w:tc>
      </w:tr>
      <w:tr w:rsidR="000778CC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17101" w:rsidP="000824D5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D22755" w:rsidRPr="003333CF">
              <w:rPr>
                <w:rFonts w:ascii="Times New Roman" w:hAnsi="Times New Roman" w:cs="Times New Roman"/>
                <w:bCs/>
                <w:sz w:val="32"/>
                <w:lang w:val="en-NZ"/>
              </w:rPr>
              <w:t>ARMORZONE</w:t>
            </w:r>
            <w:r w:rsidR="00D22755" w:rsidRPr="003333CF">
              <w:rPr>
                <w:rFonts w:ascii="Times New Roman" w:hAnsi="Times New Roman" w:cs="Times New Roman"/>
                <w:sz w:val="32"/>
                <w:lang w:val="en-NZ"/>
              </w:rPr>
              <w:t xml:space="preserve">™ </w:t>
            </w:r>
            <w:r w:rsidR="000824D5">
              <w:rPr>
                <w:rFonts w:ascii="Times New Roman" w:hAnsi="Times New Roman" w:cs="Times New Roman"/>
                <w:sz w:val="32"/>
              </w:rPr>
              <w:t xml:space="preserve">PLASTIC </w:t>
            </w:r>
            <w:r w:rsidR="00D22755">
              <w:rPr>
                <w:rFonts w:ascii="Times New Roman" w:hAnsi="Times New Roman" w:cs="Times New Roman"/>
                <w:sz w:val="32"/>
              </w:rPr>
              <w:t>BARRIER</w:t>
            </w:r>
            <w:r w:rsidR="000824D5">
              <w:rPr>
                <w:rFonts w:ascii="Times New Roman" w:hAnsi="Times New Roman" w:cs="Times New Roman"/>
                <w:sz w:val="32"/>
              </w:rPr>
              <w:t xml:space="preserve"> TL-2</w:t>
            </w:r>
          </w:p>
        </w:tc>
      </w:tr>
      <w:tr w:rsidR="000778CC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3333CF" w:rsidP="0036014C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SWM17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2050C249" wp14:editId="553A35F9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78CC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0778CC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0824D5" w:rsidP="000824D5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17101" w:rsidRPr="0036014C">
              <w:rPr>
                <w:sz w:val="22"/>
              </w:rPr>
              <w:t xml:space="preserve"> of </w:t>
            </w:r>
            <w:r>
              <w:rPr>
                <w:sz w:val="22"/>
              </w:rPr>
              <w:t>2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4DFE" w:rsidRDefault="00C44DFE" w:rsidP="00C44DFE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07/10/2013</w:t>
            </w:r>
          </w:p>
          <w:p w:rsidR="000778CC" w:rsidRPr="0036014C" w:rsidRDefault="000778CC" w:rsidP="000824D5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</w:tbl>
    <w:p w:rsidR="000778CC" w:rsidRPr="0036014C" w:rsidRDefault="000778CC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0778CC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CC" w:rsidRDefault="00917101">
      <w:r>
        <w:separator/>
      </w:r>
    </w:p>
  </w:endnote>
  <w:endnote w:type="continuationSeparator" w:id="0">
    <w:p w:rsidR="000778CC" w:rsidRDefault="009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CC" w:rsidRDefault="00917101">
      <w:r>
        <w:separator/>
      </w:r>
    </w:p>
  </w:footnote>
  <w:footnote w:type="continuationSeparator" w:id="0">
    <w:p w:rsidR="000778CC" w:rsidRDefault="0091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5346"/>
    <w:rsid w:val="000521B0"/>
    <w:rsid w:val="000778CC"/>
    <w:rsid w:val="000824D5"/>
    <w:rsid w:val="003333CF"/>
    <w:rsid w:val="0036014C"/>
    <w:rsid w:val="004C5A0C"/>
    <w:rsid w:val="004D6122"/>
    <w:rsid w:val="00645553"/>
    <w:rsid w:val="00673639"/>
    <w:rsid w:val="0077647D"/>
    <w:rsid w:val="0090730B"/>
    <w:rsid w:val="00917101"/>
    <w:rsid w:val="00A52292"/>
    <w:rsid w:val="00A62DFC"/>
    <w:rsid w:val="00AA336C"/>
    <w:rsid w:val="00AC2580"/>
    <w:rsid w:val="00B04367"/>
    <w:rsid w:val="00BD24CA"/>
    <w:rsid w:val="00BD648D"/>
    <w:rsid w:val="00C44DFE"/>
    <w:rsid w:val="00C91C02"/>
    <w:rsid w:val="00D22755"/>
    <w:rsid w:val="00DD105F"/>
    <w:rsid w:val="00E15354"/>
    <w:rsid w:val="00E744C6"/>
    <w:rsid w:val="00F66242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15</cp:revision>
  <cp:lastPrinted>2013-06-24T00:06:00Z</cp:lastPrinted>
  <dcterms:created xsi:type="dcterms:W3CDTF">2013-06-24T01:32:00Z</dcterms:created>
  <dcterms:modified xsi:type="dcterms:W3CDTF">2013-07-16T02:45:00Z</dcterms:modified>
</cp:coreProperties>
</file>