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1757"/>
        <w:gridCol w:w="1411"/>
        <w:gridCol w:w="6912"/>
      </w:tblGrid>
      <w:tr w:rsidR="000778CC" w:rsidRPr="004C5A0C">
        <w:trPr>
          <w:cantSplit/>
          <w:trHeight w:hRule="exact" w:val="11808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D6122" w:rsidRDefault="004D6122" w:rsidP="004D6122">
            <w:pPr>
              <w:jc w:val="center"/>
              <w:rPr>
                <w:b/>
                <w:sz w:val="20"/>
              </w:rPr>
            </w:pPr>
          </w:p>
          <w:p w:rsidR="0036014C" w:rsidRPr="004D6122" w:rsidRDefault="004D6122" w:rsidP="004D6122">
            <w:pPr>
              <w:jc w:val="center"/>
              <w:rPr>
                <w:b/>
                <w:sz w:val="20"/>
              </w:rPr>
            </w:pPr>
            <w:r w:rsidRPr="004D6122">
              <w:rPr>
                <w:b/>
                <w:sz w:val="20"/>
              </w:rPr>
              <w:t>INTENDED USE</w:t>
            </w:r>
          </w:p>
          <w:p w:rsidR="0077647D" w:rsidRPr="0077647D" w:rsidRDefault="0077647D" w:rsidP="0077647D">
            <w:pPr>
              <w:rPr>
                <w:sz w:val="20"/>
                <w:lang w:val="en-NZ"/>
              </w:rPr>
            </w:pPr>
          </w:p>
          <w:p w:rsidR="00A62DFC" w:rsidRDefault="0077647D" w:rsidP="00C14499">
            <w:pPr>
              <w:rPr>
                <w:sz w:val="20"/>
                <w:lang w:val="en-NZ"/>
              </w:rPr>
            </w:pPr>
            <w:r w:rsidRPr="0077647D">
              <w:rPr>
                <w:sz w:val="20"/>
                <w:lang w:val="en-NZ"/>
              </w:rPr>
              <w:t xml:space="preserve"> </w:t>
            </w:r>
            <w:r>
              <w:rPr>
                <w:sz w:val="20"/>
                <w:lang w:val="en-NZ"/>
              </w:rPr>
              <w:t xml:space="preserve">The </w:t>
            </w:r>
            <w:r w:rsidR="00800B2A" w:rsidRPr="007A56C3">
              <w:rPr>
                <w:bCs/>
                <w:sz w:val="20"/>
                <w:lang w:val="en-NZ"/>
              </w:rPr>
              <w:t>Orion</w:t>
            </w:r>
            <w:r w:rsidR="00800B2A" w:rsidRPr="007A56C3">
              <w:rPr>
                <w:sz w:val="20"/>
                <w:lang w:val="en-NZ"/>
              </w:rPr>
              <w:t>™</w:t>
            </w:r>
            <w:r w:rsidR="00800B2A">
              <w:rPr>
                <w:sz w:val="20"/>
                <w:lang w:val="en-NZ"/>
              </w:rPr>
              <w:t xml:space="preserve"> TL-3</w:t>
            </w:r>
            <w:r w:rsidRPr="0077647D">
              <w:rPr>
                <w:sz w:val="20"/>
                <w:lang w:val="en-NZ"/>
              </w:rPr>
              <w:t xml:space="preserve"> barrier</w:t>
            </w:r>
            <w:r w:rsidR="00F66242">
              <w:rPr>
                <w:sz w:val="20"/>
                <w:lang w:val="en-NZ"/>
              </w:rPr>
              <w:t xml:space="preserve"> (</w:t>
            </w:r>
            <w:r w:rsidR="00F66242" w:rsidRPr="00F66242">
              <w:rPr>
                <w:b/>
                <w:sz w:val="20"/>
                <w:lang w:val="en-NZ"/>
              </w:rPr>
              <w:t>SWM1</w:t>
            </w:r>
            <w:r w:rsidR="00C14499">
              <w:rPr>
                <w:b/>
                <w:sz w:val="20"/>
                <w:lang w:val="en-NZ"/>
              </w:rPr>
              <w:t>6a/b</w:t>
            </w:r>
            <w:r w:rsidR="00F66242">
              <w:rPr>
                <w:sz w:val="20"/>
                <w:lang w:val="en-NZ"/>
              </w:rPr>
              <w:t>)</w:t>
            </w:r>
            <w:r w:rsidRPr="0077647D">
              <w:rPr>
                <w:sz w:val="20"/>
                <w:lang w:val="en-NZ"/>
              </w:rPr>
              <w:t xml:space="preserve"> is a high performing </w:t>
            </w:r>
            <w:r w:rsidR="00C14499">
              <w:rPr>
                <w:sz w:val="20"/>
                <w:lang w:val="en-NZ"/>
              </w:rPr>
              <w:t>temporary steel</w:t>
            </w:r>
            <w:r w:rsidRPr="0077647D">
              <w:rPr>
                <w:sz w:val="20"/>
                <w:lang w:val="en-NZ"/>
              </w:rPr>
              <w:t xml:space="preserve"> barrier designed to provide work zone barrier protection to temporary construction sites and other miscellaneous roadside activities.</w:t>
            </w:r>
            <w:r w:rsidR="00C14499" w:rsidRPr="00C14499">
              <w:rPr>
                <w:rFonts w:ascii="Frutiger 47LightCn" w:hAnsi="Frutiger 47LightCn" w:cs="Frutiger 47LightCn"/>
                <w:color w:val="000000"/>
                <w:szCs w:val="24"/>
                <w:lang w:eastAsia="en-NZ"/>
              </w:rPr>
              <w:t xml:space="preserve"> </w:t>
            </w:r>
            <w:r w:rsidR="00C14499" w:rsidRPr="00C14499">
              <w:rPr>
                <w:sz w:val="20"/>
                <w:lang w:val="en-NZ"/>
              </w:rPr>
              <w:t xml:space="preserve"> </w:t>
            </w:r>
            <w:r w:rsidR="003D2E93">
              <w:rPr>
                <w:sz w:val="20"/>
                <w:lang w:val="en-NZ"/>
              </w:rPr>
              <w:t xml:space="preserve">The </w:t>
            </w:r>
            <w:r w:rsidR="00C14499" w:rsidRPr="007A56C3">
              <w:rPr>
                <w:bCs/>
                <w:sz w:val="20"/>
                <w:lang w:val="en-NZ"/>
              </w:rPr>
              <w:t>Orion™</w:t>
            </w:r>
            <w:r w:rsidR="00C14499" w:rsidRPr="00C14499">
              <w:rPr>
                <w:b/>
                <w:bCs/>
                <w:sz w:val="20"/>
                <w:lang w:val="en-NZ"/>
              </w:rPr>
              <w:t xml:space="preserve"> </w:t>
            </w:r>
            <w:r w:rsidR="00C14499" w:rsidRPr="00C14499">
              <w:rPr>
                <w:sz w:val="20"/>
                <w:lang w:val="en-NZ"/>
              </w:rPr>
              <w:t xml:space="preserve">steel units are </w:t>
            </w:r>
            <w:r w:rsidR="006F52AB">
              <w:rPr>
                <w:sz w:val="20"/>
                <w:lang w:val="en-NZ"/>
              </w:rPr>
              <w:t>attached</w:t>
            </w:r>
            <w:r w:rsidR="00C14499" w:rsidRPr="00C14499">
              <w:rPr>
                <w:sz w:val="20"/>
                <w:lang w:val="en-NZ"/>
              </w:rPr>
              <w:t xml:space="preserve"> together by removable steel pin connectors. The first and last units need to be anchored to the ground with standard (off the shelf) anchor pins. </w:t>
            </w:r>
            <w:r w:rsidRPr="0077647D">
              <w:rPr>
                <w:sz w:val="20"/>
                <w:lang w:val="en-NZ"/>
              </w:rPr>
              <w:t xml:space="preserve"> The </w:t>
            </w:r>
            <w:r w:rsidR="00C14499">
              <w:rPr>
                <w:sz w:val="20"/>
                <w:lang w:val="en-NZ"/>
              </w:rPr>
              <w:t>pre-assembled</w:t>
            </w:r>
            <w:r w:rsidRPr="0077647D">
              <w:rPr>
                <w:sz w:val="20"/>
                <w:lang w:val="en-NZ"/>
              </w:rPr>
              <w:t xml:space="preserve"> nature of the barrier simplifies its </w:t>
            </w:r>
            <w:r w:rsidR="00C14499" w:rsidRPr="0077647D">
              <w:rPr>
                <w:sz w:val="20"/>
                <w:lang w:val="en-NZ"/>
              </w:rPr>
              <w:t xml:space="preserve">transportation </w:t>
            </w:r>
            <w:r w:rsidRPr="0077647D">
              <w:rPr>
                <w:sz w:val="20"/>
                <w:lang w:val="en-NZ"/>
              </w:rPr>
              <w:t>and</w:t>
            </w:r>
            <w:r w:rsidR="00C14499" w:rsidRPr="0077647D">
              <w:rPr>
                <w:sz w:val="20"/>
                <w:lang w:val="en-NZ"/>
              </w:rPr>
              <w:t xml:space="preserve"> deployment</w:t>
            </w:r>
            <w:r w:rsidR="00C14499">
              <w:rPr>
                <w:sz w:val="20"/>
                <w:lang w:val="en-NZ"/>
              </w:rPr>
              <w:t>s allowing for install rates of up to 370 m/h.</w:t>
            </w:r>
          </w:p>
          <w:p w:rsidR="00F66242" w:rsidRPr="00F66242" w:rsidRDefault="00F66242" w:rsidP="00F66242">
            <w:pPr>
              <w:rPr>
                <w:sz w:val="20"/>
                <w:lang w:val="en-NZ"/>
              </w:rPr>
            </w:pPr>
          </w:p>
          <w:p w:rsidR="00F66242" w:rsidRPr="004C5A0C" w:rsidRDefault="003D2E93" w:rsidP="00F66242">
            <w:pPr>
              <w:rPr>
                <w:sz w:val="20"/>
              </w:rPr>
            </w:pPr>
            <w:r>
              <w:rPr>
                <w:sz w:val="20"/>
                <w:lang w:val="en-NZ"/>
              </w:rPr>
              <w:t>The</w:t>
            </w:r>
            <w:r w:rsidR="00F66242" w:rsidRPr="00F66242">
              <w:rPr>
                <w:sz w:val="20"/>
                <w:lang w:val="en-NZ"/>
              </w:rPr>
              <w:t xml:space="preserve"> </w:t>
            </w:r>
            <w:r w:rsidRPr="007A56C3">
              <w:rPr>
                <w:bCs/>
                <w:sz w:val="20"/>
                <w:lang w:val="en-NZ"/>
              </w:rPr>
              <w:t>Orion™</w:t>
            </w:r>
            <w:r w:rsidRPr="003D2E93">
              <w:rPr>
                <w:b/>
                <w:bCs/>
                <w:sz w:val="20"/>
                <w:lang w:val="en-NZ"/>
              </w:rPr>
              <w:t xml:space="preserve"> </w:t>
            </w:r>
            <w:r w:rsidR="00F66242" w:rsidRPr="00F66242">
              <w:rPr>
                <w:sz w:val="20"/>
                <w:lang w:val="en-NZ"/>
              </w:rPr>
              <w:t xml:space="preserve">deployment involves </w:t>
            </w:r>
            <w:r w:rsidR="00F06D4C">
              <w:rPr>
                <w:sz w:val="20"/>
                <w:lang w:val="en-NZ"/>
              </w:rPr>
              <w:t>placing individual</w:t>
            </w:r>
            <w:r w:rsidR="002F6125">
              <w:rPr>
                <w:sz w:val="20"/>
                <w:lang w:val="en-NZ"/>
              </w:rPr>
              <w:t xml:space="preserve"> </w:t>
            </w:r>
            <w:r w:rsidR="00F06D4C">
              <w:rPr>
                <w:sz w:val="20"/>
                <w:lang w:val="en-NZ"/>
              </w:rPr>
              <w:t xml:space="preserve">units </w:t>
            </w:r>
            <w:r w:rsidR="002F6125">
              <w:rPr>
                <w:sz w:val="20"/>
                <w:lang w:val="en-NZ"/>
              </w:rPr>
              <w:t xml:space="preserve">with a crane and </w:t>
            </w:r>
            <w:r w:rsidR="00F66242" w:rsidRPr="00F66242">
              <w:rPr>
                <w:sz w:val="20"/>
                <w:lang w:val="en-NZ"/>
              </w:rPr>
              <w:t xml:space="preserve">interlocking the </w:t>
            </w:r>
            <w:r w:rsidR="002F6125">
              <w:rPr>
                <w:sz w:val="20"/>
                <w:lang w:val="en-NZ"/>
              </w:rPr>
              <w:t>sections</w:t>
            </w:r>
            <w:r w:rsidR="00F66242" w:rsidRPr="00F66242">
              <w:rPr>
                <w:sz w:val="20"/>
                <w:lang w:val="en-NZ"/>
              </w:rPr>
              <w:t xml:space="preserve"> with a unique ‘twin pin’ connecting rod. </w:t>
            </w:r>
            <w:r w:rsidR="00F06D4C" w:rsidRPr="007A56C3">
              <w:rPr>
                <w:bCs/>
                <w:sz w:val="20"/>
                <w:lang w:val="en-NZ"/>
              </w:rPr>
              <w:t>Orion™</w:t>
            </w:r>
            <w:r w:rsidR="00F06D4C" w:rsidRPr="00F06D4C">
              <w:rPr>
                <w:b/>
                <w:bCs/>
                <w:sz w:val="20"/>
                <w:lang w:val="en-NZ"/>
              </w:rPr>
              <w:t xml:space="preserve"> </w:t>
            </w:r>
            <w:r w:rsidR="00F66242" w:rsidRPr="00F66242">
              <w:rPr>
                <w:sz w:val="20"/>
                <w:lang w:val="en-NZ"/>
              </w:rPr>
              <w:t>can be deployed straight or with low curvature, on either roadside or median applications</w:t>
            </w:r>
            <w:r w:rsidR="00F66242">
              <w:rPr>
                <w:sz w:val="20"/>
                <w:lang w:val="en-NZ"/>
              </w:rPr>
              <w:t>.</w:t>
            </w:r>
          </w:p>
          <w:p w:rsidR="00A62DFC" w:rsidRPr="004C5A0C" w:rsidRDefault="00A62DFC" w:rsidP="00A62DFC">
            <w:pPr>
              <w:rPr>
                <w:sz w:val="20"/>
                <w:lang w:val="en-GB"/>
              </w:rPr>
            </w:pPr>
          </w:p>
          <w:p w:rsidR="0036014C" w:rsidRPr="004C5A0C" w:rsidRDefault="00F06D4C" w:rsidP="0036014C">
            <w:pPr>
              <w:rPr>
                <w:sz w:val="20"/>
              </w:rPr>
            </w:pPr>
            <w:r w:rsidRPr="00F66242">
              <w:rPr>
                <w:b/>
                <w:sz w:val="20"/>
                <w:lang w:val="en-NZ"/>
              </w:rPr>
              <w:t>SWM1</w:t>
            </w:r>
            <w:r>
              <w:rPr>
                <w:b/>
                <w:sz w:val="20"/>
                <w:lang w:val="en-NZ"/>
              </w:rPr>
              <w:t>6a/b</w:t>
            </w:r>
            <w:r w:rsidR="004C5A0C" w:rsidRPr="004C5A0C">
              <w:rPr>
                <w:sz w:val="20"/>
              </w:rPr>
              <w:t xml:space="preserve"> </w:t>
            </w:r>
            <w:r w:rsidR="0036014C" w:rsidRPr="004C5A0C">
              <w:rPr>
                <w:sz w:val="20"/>
              </w:rPr>
              <w:t xml:space="preserve">is a </w:t>
            </w:r>
            <w:r>
              <w:rPr>
                <w:sz w:val="20"/>
              </w:rPr>
              <w:t>NCHRP 350</w:t>
            </w:r>
            <w:r w:rsidR="00F66242">
              <w:rPr>
                <w:sz w:val="20"/>
              </w:rPr>
              <w:t xml:space="preserve"> </w:t>
            </w:r>
            <w:r w:rsidR="0036014C" w:rsidRPr="004C5A0C">
              <w:rPr>
                <w:sz w:val="20"/>
              </w:rPr>
              <w:t xml:space="preserve">Test Level </w:t>
            </w:r>
            <w:r>
              <w:rPr>
                <w:sz w:val="20"/>
              </w:rPr>
              <w:t>3</w:t>
            </w:r>
            <w:r w:rsidR="0036014C" w:rsidRPr="004C5A0C">
              <w:rPr>
                <w:sz w:val="20"/>
              </w:rPr>
              <w:t xml:space="preserve"> </w:t>
            </w:r>
            <w:r w:rsidR="00015346" w:rsidRPr="004C5A0C">
              <w:rPr>
                <w:sz w:val="20"/>
              </w:rPr>
              <w:t xml:space="preserve">accepted </w:t>
            </w:r>
            <w:r w:rsidR="00F66242">
              <w:rPr>
                <w:sz w:val="20"/>
              </w:rPr>
              <w:t>barrier</w:t>
            </w: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36014C" w:rsidRPr="004C5A0C" w:rsidRDefault="0036014C" w:rsidP="0036014C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FEATURES AND SPECIFICATIONS</w:t>
            </w:r>
          </w:p>
          <w:p w:rsidR="0036014C" w:rsidRPr="004C5A0C" w:rsidRDefault="0036014C" w:rsidP="0036014C">
            <w:pPr>
              <w:rPr>
                <w:sz w:val="20"/>
              </w:rPr>
            </w:pP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6F52AB">
              <w:rPr>
                <w:rFonts w:ascii="Times New Roman" w:hAnsi="Times New Roman"/>
                <w:sz w:val="20"/>
              </w:rPr>
              <w:t xml:space="preserve">Positive work zone barrier protection 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6F52AB">
              <w:rPr>
                <w:rFonts w:ascii="Times New Roman" w:hAnsi="Times New Roman"/>
                <w:sz w:val="20"/>
              </w:rPr>
              <w:t xml:space="preserve">Exceptionally good vehicle control and low deflection 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6F52AB">
              <w:rPr>
                <w:rFonts w:ascii="Times New Roman" w:hAnsi="Times New Roman"/>
                <w:sz w:val="20"/>
              </w:rPr>
              <w:t xml:space="preserve">Easy and fast installation (compared to concrete or plastic) 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6F52AB">
              <w:rPr>
                <w:rFonts w:ascii="Times New Roman" w:hAnsi="Times New Roman"/>
                <w:sz w:val="20"/>
              </w:rPr>
              <w:t xml:space="preserve">Up to 185m can be fitted in one truck load 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6F52AB">
              <w:rPr>
                <w:rFonts w:ascii="Times New Roman" w:hAnsi="Times New Roman"/>
                <w:sz w:val="20"/>
              </w:rPr>
              <w:t xml:space="preserve">Up to 370m can be deployed in one hour 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6F52AB">
              <w:rPr>
                <w:rFonts w:ascii="Times New Roman" w:hAnsi="Times New Roman"/>
                <w:sz w:val="20"/>
              </w:rPr>
              <w:t xml:space="preserve">It only requires anchoring at the first and last units 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6F52AB">
              <w:rPr>
                <w:rFonts w:ascii="Times New Roman" w:hAnsi="Times New Roman"/>
                <w:sz w:val="20"/>
              </w:rPr>
              <w:t xml:space="preserve">Low deflection “fully pinned” option also available 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6F52AB">
              <w:rPr>
                <w:rFonts w:ascii="Times New Roman" w:hAnsi="Times New Roman"/>
                <w:sz w:val="20"/>
              </w:rPr>
              <w:t xml:space="preserve">Connects directly to the Absorb 350™ Crash Cushion 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  <w:r w:rsidRPr="006F52AB">
              <w:rPr>
                <w:rFonts w:ascii="Times New Roman" w:hAnsi="Times New Roman"/>
                <w:sz w:val="20"/>
              </w:rPr>
              <w:t xml:space="preserve">Low cost and easily repaired after impact 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Tested and accepted to NCHRP 350 Criteria, Test Level 3 (TL-3)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Effective Length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 </w:t>
            </w: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12.3m (4.3m also available)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Height: 883mm; Width: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477mm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Weight (per unit): 896kg; Weight (per meter):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73kg</w:t>
            </w:r>
          </w:p>
          <w:p w:rsidR="006F52AB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Minimum Radius: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124m-355m</w:t>
            </w:r>
          </w:p>
          <w:p w:rsidR="003333CF" w:rsidRPr="006F52AB" w:rsidRDefault="006F52AB" w:rsidP="006F52AB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Deflection (2000P):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6F52AB">
              <w:rPr>
                <w:rFonts w:ascii="Times New Roman" w:hAnsi="Times New Roman"/>
                <w:sz w:val="20"/>
                <w:szCs w:val="20"/>
                <w:lang w:val="en-US"/>
              </w:rPr>
              <w:t>1.85m</w:t>
            </w:r>
          </w:p>
          <w:p w:rsidR="00E15354" w:rsidRPr="004C5A0C" w:rsidRDefault="00E15354" w:rsidP="00E15354">
            <w:pPr>
              <w:jc w:val="center"/>
              <w:rPr>
                <w:b/>
                <w:sz w:val="20"/>
              </w:rPr>
            </w:pPr>
            <w:r w:rsidRPr="004C5A0C">
              <w:rPr>
                <w:b/>
                <w:sz w:val="20"/>
              </w:rPr>
              <w:t>APPROVALS</w:t>
            </w:r>
          </w:p>
          <w:p w:rsidR="00E15354" w:rsidRPr="004C5A0C" w:rsidRDefault="00E15354" w:rsidP="00E15354">
            <w:pPr>
              <w:jc w:val="center"/>
              <w:rPr>
                <w:b/>
                <w:sz w:val="20"/>
              </w:rPr>
            </w:pPr>
          </w:p>
          <w:p w:rsidR="0036014C" w:rsidRPr="004C5A0C" w:rsidRDefault="0036014C" w:rsidP="0036014C">
            <w:pPr>
              <w:rPr>
                <w:sz w:val="20"/>
              </w:rPr>
            </w:pPr>
            <w:r w:rsidRPr="004C5A0C">
              <w:rPr>
                <w:sz w:val="20"/>
              </w:rPr>
              <w:t xml:space="preserve">FHWA Acceptance Letter:  </w:t>
            </w:r>
            <w:r w:rsidR="00B107AB">
              <w:rPr>
                <w:b/>
                <w:sz w:val="20"/>
              </w:rPr>
              <w:t>B-217</w:t>
            </w:r>
            <w:r w:rsidRPr="004C5A0C">
              <w:rPr>
                <w:sz w:val="20"/>
              </w:rPr>
              <w:t xml:space="preserve">. </w:t>
            </w:r>
          </w:p>
          <w:p w:rsidR="000778CC" w:rsidRPr="004C5A0C" w:rsidRDefault="000778CC">
            <w:pPr>
              <w:widowControl w:val="0"/>
              <w:rPr>
                <w:sz w:val="20"/>
              </w:rPr>
            </w:pPr>
          </w:p>
          <w:p w:rsidR="0036014C" w:rsidRPr="004C5A0C" w:rsidRDefault="0036014C">
            <w:pPr>
              <w:widowControl w:val="0"/>
              <w:rPr>
                <w:sz w:val="20"/>
              </w:rPr>
            </w:pPr>
          </w:p>
          <w:p w:rsidR="0036014C" w:rsidRPr="004C5A0C" w:rsidRDefault="0036014C" w:rsidP="0036014C">
            <w:pPr>
              <w:jc w:val="center"/>
              <w:rPr>
                <w:rFonts w:ascii="New roman" w:hAnsi="New roman"/>
                <w:b/>
                <w:sz w:val="20"/>
              </w:rPr>
            </w:pPr>
            <w:r w:rsidRPr="004C5A0C">
              <w:rPr>
                <w:rFonts w:ascii="New roman" w:hAnsi="New roman"/>
                <w:b/>
                <w:sz w:val="20"/>
              </w:rPr>
              <w:t>CONTACT INFORMATION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Armorflex International LTD</w:t>
            </w:r>
          </w:p>
          <w:p w:rsidR="00A52292" w:rsidRPr="004C5A0C" w:rsidRDefault="0088383B" w:rsidP="0036014C">
            <w:pPr>
              <w:rPr>
                <w:rFonts w:ascii="New roman" w:hAnsi="New roman"/>
                <w:sz w:val="20"/>
              </w:rPr>
            </w:pPr>
            <w:hyperlink r:id="rId8" w:history="1">
              <w:r w:rsidR="00A52292" w:rsidRPr="004C5A0C">
                <w:rPr>
                  <w:rStyle w:val="Hyperlink"/>
                  <w:rFonts w:ascii="New roman" w:hAnsi="New roman"/>
                  <w:sz w:val="20"/>
                </w:rPr>
                <w:t>www.armorflex.co.nz</w:t>
              </w:r>
            </w:hyperlink>
          </w:p>
          <w:p w:rsidR="00A52292" w:rsidRPr="004C5A0C" w:rsidRDefault="00A52292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Telephone: +64 9 4269174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156 Foundry Rd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Silverdale, Auckland 0932</w:t>
            </w:r>
          </w:p>
          <w:p w:rsidR="0036014C" w:rsidRPr="004C5A0C" w:rsidRDefault="0036014C" w:rsidP="0036014C">
            <w:pPr>
              <w:rPr>
                <w:rFonts w:ascii="New roman" w:hAnsi="New roman"/>
                <w:sz w:val="20"/>
              </w:rPr>
            </w:pPr>
            <w:r w:rsidRPr="004C5A0C">
              <w:rPr>
                <w:rFonts w:ascii="New roman" w:hAnsi="New roman"/>
                <w:sz w:val="20"/>
              </w:rPr>
              <w:t>New Zealand</w:t>
            </w:r>
          </w:p>
          <w:p w:rsidR="000778CC" w:rsidRPr="004C5A0C" w:rsidRDefault="000778CC">
            <w:pPr>
              <w:widowControl w:val="0"/>
              <w:rPr>
                <w:sz w:val="20"/>
              </w:rPr>
            </w:pPr>
          </w:p>
          <w:p w:rsidR="000778CC" w:rsidRPr="004C5A0C" w:rsidRDefault="000778CC">
            <w:pPr>
              <w:widowControl w:val="0"/>
              <w:rPr>
                <w:sz w:val="20"/>
              </w:rPr>
            </w:pPr>
          </w:p>
          <w:p w:rsidR="000778CC" w:rsidRPr="004C5A0C" w:rsidRDefault="000778C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rPr>
                <w:sz w:val="20"/>
              </w:rPr>
            </w:pPr>
          </w:p>
          <w:p w:rsidR="000778CC" w:rsidRPr="004C5A0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jc w:val="center"/>
              <w:rPr>
                <w:sz w:val="20"/>
              </w:rPr>
            </w:pPr>
            <w:r w:rsidRPr="004C5A0C">
              <w:rPr>
                <w:sz w:val="20"/>
              </w:rPr>
              <w:tab/>
            </w:r>
            <w:r w:rsidRPr="004C5A0C">
              <w:rPr>
                <w:sz w:val="20"/>
              </w:rPr>
              <w:tab/>
            </w:r>
          </w:p>
          <w:p w:rsidR="000778CC" w:rsidRPr="004C5A0C" w:rsidRDefault="000778C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rPr>
                <w:sz w:val="20"/>
              </w:rPr>
            </w:pPr>
          </w:p>
          <w:p w:rsidR="000778CC" w:rsidRPr="004C5A0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after="12"/>
              <w:rPr>
                <w:sz w:val="20"/>
              </w:rPr>
            </w:pPr>
            <w:r w:rsidRPr="004C5A0C">
              <w:rPr>
                <w:sz w:val="20"/>
              </w:rPr>
              <w:tab/>
            </w:r>
          </w:p>
        </w:tc>
      </w:tr>
      <w:tr w:rsidR="000778CC" w:rsidRPr="0036014C">
        <w:trPr>
          <w:cantSplit/>
          <w:trHeight w:hRule="exact" w:val="576"/>
          <w:jc w:val="center"/>
        </w:trPr>
        <w:tc>
          <w:tcPr>
            <w:tcW w:w="1008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917101" w:rsidP="00F83B37">
            <w:pPr>
              <w:pStyle w:val="Heading1"/>
              <w:rPr>
                <w:rFonts w:ascii="Times New Roman" w:hAnsi="Times New Roman" w:cs="Times New Roman"/>
                <w:sz w:val="32"/>
              </w:rPr>
            </w:pPr>
            <w:r w:rsidRPr="0036014C">
              <w:rPr>
                <w:rFonts w:ascii="Times New Roman" w:hAnsi="Times New Roman" w:cs="Times New Roman"/>
              </w:rPr>
              <w:tab/>
            </w:r>
            <w:r w:rsidR="009009DE">
              <w:rPr>
                <w:rFonts w:ascii="Times New Roman" w:hAnsi="Times New Roman" w:cs="Times New Roman"/>
                <w:bCs/>
                <w:sz w:val="32"/>
                <w:lang w:val="en-NZ"/>
              </w:rPr>
              <w:t>ORION</w:t>
            </w:r>
            <w:r w:rsidR="00D22755" w:rsidRPr="003333CF">
              <w:rPr>
                <w:rFonts w:ascii="Times New Roman" w:hAnsi="Times New Roman" w:cs="Times New Roman"/>
                <w:sz w:val="32"/>
                <w:lang w:val="en-NZ"/>
              </w:rPr>
              <w:t xml:space="preserve">™ </w:t>
            </w:r>
            <w:r w:rsidR="00F83B37">
              <w:rPr>
                <w:rFonts w:ascii="Times New Roman" w:hAnsi="Times New Roman" w:cs="Times New Roman"/>
                <w:sz w:val="32"/>
              </w:rPr>
              <w:t>PORTABLE</w:t>
            </w:r>
            <w:r w:rsidR="009009DE">
              <w:rPr>
                <w:rFonts w:ascii="Times New Roman" w:hAnsi="Times New Roman" w:cs="Times New Roman"/>
                <w:sz w:val="32"/>
              </w:rPr>
              <w:t xml:space="preserve"> STEEL</w:t>
            </w:r>
            <w:r w:rsidR="00D22755">
              <w:rPr>
                <w:rFonts w:ascii="Times New Roman" w:hAnsi="Times New Roman" w:cs="Times New Roman"/>
                <w:sz w:val="32"/>
              </w:rPr>
              <w:t xml:space="preserve"> BARRIER</w:t>
            </w:r>
            <w:r w:rsidR="00F83B37">
              <w:rPr>
                <w:rFonts w:ascii="Times New Roman" w:hAnsi="Times New Roman" w:cs="Times New Roman"/>
                <w:sz w:val="32"/>
              </w:rPr>
              <w:t xml:space="preserve"> TL-3</w:t>
            </w:r>
          </w:p>
        </w:tc>
      </w:tr>
      <w:tr w:rsidR="000778CC" w:rsidRPr="0036014C">
        <w:trPr>
          <w:cantSplit/>
          <w:trHeight w:hRule="exact" w:val="720"/>
          <w:jc w:val="center"/>
        </w:trPr>
        <w:tc>
          <w:tcPr>
            <w:tcW w:w="316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9009DE" w:rsidP="0036014C">
            <w:pPr>
              <w:widowControl w:val="0"/>
              <w:tabs>
                <w:tab w:val="center" w:pos="1440"/>
              </w:tabs>
              <w:spacing w:before="72" w:after="12"/>
              <w:jc w:val="center"/>
              <w:rPr>
                <w:sz w:val="32"/>
              </w:rPr>
            </w:pPr>
            <w:r>
              <w:rPr>
                <w:b/>
                <w:sz w:val="44"/>
              </w:rPr>
              <w:t>SWM16a/b</w:t>
            </w:r>
          </w:p>
        </w:tc>
        <w:tc>
          <w:tcPr>
            <w:tcW w:w="691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36014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i/>
                <w:iCs/>
                <w:sz w:val="28"/>
              </w:rPr>
            </w:pPr>
            <w:r>
              <w:rPr>
                <w:noProof/>
                <w:lang w:val="en-NZ" w:eastAsia="en-NZ"/>
              </w:rPr>
              <w:drawing>
                <wp:anchor distT="0" distB="0" distL="114300" distR="114300" simplePos="0" relativeHeight="251659264" behindDoc="0" locked="0" layoutInCell="1" allowOverlap="1" wp14:anchorId="06B32166" wp14:editId="2115061F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47625</wp:posOffset>
                  </wp:positionV>
                  <wp:extent cx="1931670" cy="788670"/>
                  <wp:effectExtent l="0" t="0" r="0" b="0"/>
                  <wp:wrapSquare wrapText="bothSides"/>
                  <wp:docPr id="1" name="Picture 2" descr="M:\New AI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New AI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3" t="20221" r="1666" b="17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67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78CC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SHEET NO.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917101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 w:rsidRPr="0036014C">
              <w:rPr>
                <w:sz w:val="22"/>
              </w:rPr>
              <w:t>DATE</w:t>
            </w:r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78CC" w:rsidRPr="0036014C" w:rsidRDefault="000778CC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  <w:tr w:rsidR="0088383B" w:rsidRPr="0036014C">
        <w:trPr>
          <w:cantSplit/>
          <w:trHeight w:hRule="exact" w:val="360"/>
          <w:jc w:val="center"/>
        </w:trPr>
        <w:tc>
          <w:tcPr>
            <w:tcW w:w="17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83B" w:rsidRPr="0036014C" w:rsidRDefault="0088383B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bookmarkStart w:id="0" w:name="_GoBack" w:colFirst="1" w:colLast="1"/>
            <w:r w:rsidRPr="0036014C">
              <w:rPr>
                <w:sz w:val="22"/>
              </w:rPr>
              <w:t>2 of 2</w:t>
            </w:r>
          </w:p>
        </w:tc>
        <w:tc>
          <w:tcPr>
            <w:tcW w:w="14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83B" w:rsidRPr="0036014C" w:rsidRDefault="0088383B" w:rsidP="002A5775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jc w:val="center"/>
              <w:rPr>
                <w:sz w:val="22"/>
              </w:rPr>
            </w:pPr>
            <w:r>
              <w:rPr>
                <w:sz w:val="22"/>
              </w:rPr>
              <w:t>07/10/</w:t>
            </w:r>
            <w:r>
              <w:rPr>
                <w:sz w:val="22"/>
              </w:rPr>
              <w:t>20</w:t>
            </w:r>
            <w:r>
              <w:rPr>
                <w:sz w:val="22"/>
              </w:rPr>
              <w:t>13</w:t>
            </w:r>
          </w:p>
        </w:tc>
        <w:tc>
          <w:tcPr>
            <w:tcW w:w="6912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383B" w:rsidRPr="0036014C" w:rsidRDefault="0088383B">
            <w:pPr>
              <w:widowControl w:val="0"/>
              <w:tabs>
                <w:tab w:val="left" w:pos="-1440"/>
                <w:tab w:val="left" w:pos="3600"/>
                <w:tab w:val="left" w:pos="5760"/>
              </w:tabs>
              <w:spacing w:before="72" w:after="12"/>
              <w:rPr>
                <w:sz w:val="28"/>
              </w:rPr>
            </w:pPr>
          </w:p>
        </w:tc>
      </w:tr>
      <w:bookmarkEnd w:id="0"/>
    </w:tbl>
    <w:p w:rsidR="000778CC" w:rsidRPr="0036014C" w:rsidRDefault="000778CC">
      <w:pPr>
        <w:widowControl w:val="0"/>
        <w:tabs>
          <w:tab w:val="left" w:pos="-1440"/>
          <w:tab w:val="left" w:pos="3600"/>
          <w:tab w:val="left" w:pos="5760"/>
        </w:tabs>
        <w:spacing w:line="0" w:lineRule="atLeast"/>
      </w:pPr>
    </w:p>
    <w:sectPr w:rsidR="000778CC" w:rsidRPr="0036014C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576" w:right="1296" w:bottom="662" w:left="864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CC" w:rsidRDefault="00917101">
      <w:r>
        <w:separator/>
      </w:r>
    </w:p>
  </w:endnote>
  <w:endnote w:type="continuationSeparator" w:id="0">
    <w:p w:rsidR="000778CC" w:rsidRDefault="009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CC" w:rsidRDefault="000778CC">
    <w:pPr>
      <w:widowControl w:val="0"/>
      <w:tabs>
        <w:tab w:val="left" w:pos="-1440"/>
        <w:tab w:val="left" w:pos="3600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CC" w:rsidRDefault="000778CC">
    <w:pPr>
      <w:widowControl w:val="0"/>
      <w:tabs>
        <w:tab w:val="left" w:pos="-1440"/>
        <w:tab w:val="left" w:pos="3600"/>
        <w:tab w:val="left" w:pos="5760"/>
      </w:tabs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CC" w:rsidRDefault="00917101">
      <w:r>
        <w:separator/>
      </w:r>
    </w:p>
  </w:footnote>
  <w:footnote w:type="continuationSeparator" w:id="0">
    <w:p w:rsidR="000778CC" w:rsidRDefault="00917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CC" w:rsidRDefault="000778CC">
    <w:pPr>
      <w:widowControl w:val="0"/>
      <w:tabs>
        <w:tab w:val="left" w:pos="-1440"/>
        <w:tab w:val="left" w:pos="3600"/>
        <w:tab w:val="left" w:pos="57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CC" w:rsidRDefault="000778CC">
    <w:pPr>
      <w:widowControl w:val="0"/>
      <w:tabs>
        <w:tab w:val="left" w:pos="-1440"/>
        <w:tab w:val="left" w:pos="3600"/>
        <w:tab w:val="left" w:pos="5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078B1"/>
    <w:multiLevelType w:val="hybridMultilevel"/>
    <w:tmpl w:val="CFCC5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4C"/>
    <w:rsid w:val="00015346"/>
    <w:rsid w:val="000521B0"/>
    <w:rsid w:val="000778CC"/>
    <w:rsid w:val="00085974"/>
    <w:rsid w:val="002F6125"/>
    <w:rsid w:val="003333CF"/>
    <w:rsid w:val="0036014C"/>
    <w:rsid w:val="003D2E93"/>
    <w:rsid w:val="004C5A0C"/>
    <w:rsid w:val="004D6122"/>
    <w:rsid w:val="00645553"/>
    <w:rsid w:val="00673639"/>
    <w:rsid w:val="006F52AB"/>
    <w:rsid w:val="0077647D"/>
    <w:rsid w:val="007A56C3"/>
    <w:rsid w:val="00800B2A"/>
    <w:rsid w:val="0088383B"/>
    <w:rsid w:val="009009DE"/>
    <w:rsid w:val="0090730B"/>
    <w:rsid w:val="00917101"/>
    <w:rsid w:val="00A52292"/>
    <w:rsid w:val="00A62DFC"/>
    <w:rsid w:val="00AC2580"/>
    <w:rsid w:val="00B04367"/>
    <w:rsid w:val="00B107AB"/>
    <w:rsid w:val="00BD648D"/>
    <w:rsid w:val="00C14499"/>
    <w:rsid w:val="00C91C02"/>
    <w:rsid w:val="00D22755"/>
    <w:rsid w:val="00E15354"/>
    <w:rsid w:val="00E744C6"/>
    <w:rsid w:val="00F06D4C"/>
    <w:rsid w:val="00F11DAF"/>
    <w:rsid w:val="00F66242"/>
    <w:rsid w:val="00F83B37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A52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896"/>
      </w:tabs>
      <w:spacing w:before="72" w:after="12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896"/>
      </w:tabs>
      <w:spacing w:before="1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1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customStyle="1" w:styleId="MPR">
    <w:name w:val="MPR"/>
  </w:style>
  <w:style w:type="character" w:customStyle="1" w:styleId="1">
    <w:name w:val="1"/>
  </w:style>
  <w:style w:type="character" w:styleId="Hyperlink">
    <w:name w:val="Hyperlink"/>
    <w:basedOn w:val="DefaultParagraphFont"/>
    <w:uiPriority w:val="99"/>
    <w:unhideWhenUsed/>
    <w:rsid w:val="00A52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orflex.co.n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</vt:lpstr>
    </vt:vector>
  </TitlesOfParts>
  <Company>WPI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:creator>Weir</dc:creator>
  <cp:lastModifiedBy>Armando Morles</cp:lastModifiedBy>
  <cp:revision>10</cp:revision>
  <cp:lastPrinted>2013-06-24T00:06:00Z</cp:lastPrinted>
  <dcterms:created xsi:type="dcterms:W3CDTF">2013-06-24T20:25:00Z</dcterms:created>
  <dcterms:modified xsi:type="dcterms:W3CDTF">2013-07-16T02:43:00Z</dcterms:modified>
</cp:coreProperties>
</file>