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757"/>
        <w:gridCol w:w="1411"/>
        <w:gridCol w:w="6912"/>
      </w:tblGrid>
      <w:tr w:rsidR="00A339C3" w:rsidRPr="0036014C">
        <w:trPr>
          <w:cantSplit/>
          <w:trHeight w:hRule="exact" w:val="11808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014C" w:rsidRPr="0068073B" w:rsidRDefault="00F87B6D" w:rsidP="0036014C">
            <w:pPr>
              <w:jc w:val="center"/>
              <w:rPr>
                <w:b/>
                <w:sz w:val="22"/>
              </w:rPr>
            </w:pPr>
            <w:r w:rsidRPr="0068073B">
              <w:rPr>
                <w:b/>
                <w:sz w:val="22"/>
              </w:rPr>
              <w:t xml:space="preserve"> </w:t>
            </w:r>
          </w:p>
          <w:p w:rsidR="00F87B6D" w:rsidRPr="0068073B" w:rsidRDefault="00F87B6D" w:rsidP="00F87B6D">
            <w:pPr>
              <w:jc w:val="center"/>
              <w:rPr>
                <w:b/>
                <w:sz w:val="22"/>
              </w:rPr>
            </w:pPr>
            <w:r w:rsidRPr="0068073B">
              <w:rPr>
                <w:b/>
                <w:sz w:val="22"/>
              </w:rPr>
              <w:t>INTENDED USE</w:t>
            </w:r>
          </w:p>
          <w:p w:rsidR="00F87B6D" w:rsidRPr="0068073B" w:rsidRDefault="00F87B6D" w:rsidP="0036014C">
            <w:pPr>
              <w:jc w:val="center"/>
              <w:rPr>
                <w:b/>
                <w:sz w:val="22"/>
              </w:rPr>
            </w:pPr>
          </w:p>
          <w:p w:rsidR="0036014C" w:rsidRPr="0068073B" w:rsidRDefault="0036014C" w:rsidP="0036014C">
            <w:pPr>
              <w:rPr>
                <w:sz w:val="22"/>
              </w:rPr>
            </w:pPr>
          </w:p>
          <w:p w:rsidR="002B062B" w:rsidRPr="0068073B" w:rsidRDefault="0036014C" w:rsidP="0036014C">
            <w:pPr>
              <w:rPr>
                <w:sz w:val="22"/>
              </w:rPr>
            </w:pPr>
            <w:r w:rsidRPr="0068073B">
              <w:rPr>
                <w:sz w:val="22"/>
              </w:rPr>
              <w:t xml:space="preserve">The </w:t>
            </w:r>
            <w:r w:rsidR="002B062B" w:rsidRPr="0068073B">
              <w:rPr>
                <w:sz w:val="22"/>
              </w:rPr>
              <w:t>ArmorZone</w:t>
            </w:r>
            <w:r w:rsidR="002542D5" w:rsidRPr="0068073B">
              <w:rPr>
                <w:sz w:val="22"/>
              </w:rPr>
              <w:t>™</w:t>
            </w:r>
            <w:r w:rsidR="002B062B" w:rsidRPr="0068073B">
              <w:rPr>
                <w:sz w:val="22"/>
              </w:rPr>
              <w:t xml:space="preserve"> End Terminal</w:t>
            </w:r>
            <w:r w:rsidRPr="0068073B">
              <w:rPr>
                <w:sz w:val="22"/>
              </w:rPr>
              <w:t xml:space="preserve"> </w:t>
            </w:r>
            <w:r w:rsidR="002B062B" w:rsidRPr="0068073B">
              <w:rPr>
                <w:sz w:val="22"/>
              </w:rPr>
              <w:t>TL-2 (</w:t>
            </w:r>
            <w:r w:rsidR="002B062B" w:rsidRPr="0068073B">
              <w:rPr>
                <w:b/>
                <w:sz w:val="22"/>
              </w:rPr>
              <w:t>SCI29</w:t>
            </w:r>
            <w:r w:rsidR="002B062B" w:rsidRPr="0068073B">
              <w:rPr>
                <w:sz w:val="22"/>
              </w:rPr>
              <w:t>) has been designed, tested and accepted to NCHRP 350 criteria for</w:t>
            </w:r>
            <w:r w:rsidR="00E83E05">
              <w:rPr>
                <w:sz w:val="22"/>
              </w:rPr>
              <w:t xml:space="preserve"> gating</w:t>
            </w:r>
            <w:r w:rsidR="002B062B" w:rsidRPr="0068073B">
              <w:rPr>
                <w:sz w:val="22"/>
              </w:rPr>
              <w:t xml:space="preserve"> crash cushions.  It</w:t>
            </w:r>
            <w:r w:rsidR="002542D5" w:rsidRPr="0068073B">
              <w:rPr>
                <w:sz w:val="22"/>
              </w:rPr>
              <w:t>s</w:t>
            </w:r>
            <w:r w:rsidR="002B062B" w:rsidRPr="0068073B">
              <w:rPr>
                <w:sz w:val="22"/>
              </w:rPr>
              <w:t xml:space="preserve"> sole purpose is to prevent </w:t>
            </w:r>
            <w:r w:rsidR="002542D5" w:rsidRPr="0068073B">
              <w:rPr>
                <w:sz w:val="22"/>
              </w:rPr>
              <w:t xml:space="preserve">errant vehicles </w:t>
            </w:r>
            <w:r w:rsidR="00E83E05">
              <w:rPr>
                <w:sz w:val="22"/>
              </w:rPr>
              <w:t>from</w:t>
            </w:r>
            <w:r w:rsidR="002542D5" w:rsidRPr="0068073B">
              <w:rPr>
                <w:sz w:val="22"/>
              </w:rPr>
              <w:t xml:space="preserve"> </w:t>
            </w:r>
            <w:r w:rsidR="002B062B" w:rsidRPr="0068073B">
              <w:rPr>
                <w:sz w:val="22"/>
              </w:rPr>
              <w:t>direct</w:t>
            </w:r>
            <w:r w:rsidR="00E83E05">
              <w:rPr>
                <w:sz w:val="22"/>
              </w:rPr>
              <w:t xml:space="preserve"> contact</w:t>
            </w:r>
            <w:r w:rsidR="002B062B" w:rsidRPr="0068073B">
              <w:rPr>
                <w:sz w:val="22"/>
              </w:rPr>
              <w:t xml:space="preserve"> with </w:t>
            </w:r>
            <w:r w:rsidR="002542D5" w:rsidRPr="0068073B">
              <w:rPr>
                <w:sz w:val="22"/>
              </w:rPr>
              <w:t xml:space="preserve">the ends of an ArmorZone™ </w:t>
            </w:r>
            <w:r w:rsidR="002B062B" w:rsidRPr="0068073B">
              <w:rPr>
                <w:sz w:val="22"/>
              </w:rPr>
              <w:t>water filled</w:t>
            </w:r>
            <w:r w:rsidR="002542D5" w:rsidRPr="0068073B">
              <w:rPr>
                <w:sz w:val="22"/>
              </w:rPr>
              <w:t xml:space="preserve"> barrier installation (</w:t>
            </w:r>
            <w:r w:rsidR="002542D5" w:rsidRPr="0068073B">
              <w:rPr>
                <w:b/>
                <w:sz w:val="22"/>
              </w:rPr>
              <w:t>SWM17</w:t>
            </w:r>
            <w:r w:rsidR="002542D5" w:rsidRPr="0068073B">
              <w:rPr>
                <w:sz w:val="22"/>
              </w:rPr>
              <w:t xml:space="preserve">).  </w:t>
            </w:r>
          </w:p>
          <w:p w:rsidR="002B062B" w:rsidRPr="0068073B" w:rsidRDefault="002B062B" w:rsidP="0036014C">
            <w:pPr>
              <w:rPr>
                <w:sz w:val="22"/>
              </w:rPr>
            </w:pPr>
          </w:p>
          <w:p w:rsidR="0036014C" w:rsidRPr="0068073B" w:rsidRDefault="002542D5" w:rsidP="0036014C">
            <w:pPr>
              <w:rPr>
                <w:sz w:val="22"/>
              </w:rPr>
            </w:pPr>
            <w:r w:rsidRPr="0068073B">
              <w:rPr>
                <w:sz w:val="22"/>
              </w:rPr>
              <w:t>ArmorZone™ TL-2 end treatment connects directly to the ArmorZone™ TL-2 barrier and provides adequate protection from the barrier when the end cannot be flared or shielded sufficiently.</w:t>
            </w:r>
          </w:p>
          <w:p w:rsidR="002542D5" w:rsidRPr="0068073B" w:rsidRDefault="002542D5" w:rsidP="0036014C">
            <w:pPr>
              <w:rPr>
                <w:sz w:val="22"/>
              </w:rPr>
            </w:pPr>
          </w:p>
          <w:p w:rsidR="0036014C" w:rsidRPr="0068073B" w:rsidRDefault="002542D5" w:rsidP="0036014C">
            <w:pPr>
              <w:rPr>
                <w:sz w:val="22"/>
              </w:rPr>
            </w:pPr>
            <w:r w:rsidRPr="0068073B">
              <w:rPr>
                <w:b/>
                <w:sz w:val="22"/>
              </w:rPr>
              <w:t>SCI29</w:t>
            </w:r>
            <w:r w:rsidR="0036014C" w:rsidRPr="0068073B">
              <w:rPr>
                <w:sz w:val="22"/>
              </w:rPr>
              <w:t xml:space="preserve"> is a </w:t>
            </w:r>
            <w:r w:rsidR="00E83E05">
              <w:rPr>
                <w:sz w:val="22"/>
              </w:rPr>
              <w:t xml:space="preserve">NCHRP 350 </w:t>
            </w:r>
            <w:r w:rsidR="0036014C" w:rsidRPr="0068073B">
              <w:rPr>
                <w:sz w:val="22"/>
              </w:rPr>
              <w:t xml:space="preserve">Test Level </w:t>
            </w:r>
            <w:r w:rsidRPr="0068073B">
              <w:rPr>
                <w:sz w:val="22"/>
              </w:rPr>
              <w:t>2</w:t>
            </w:r>
            <w:r w:rsidR="0036014C" w:rsidRPr="0068073B">
              <w:rPr>
                <w:sz w:val="22"/>
              </w:rPr>
              <w:t xml:space="preserve"> </w:t>
            </w:r>
            <w:r w:rsidR="00015346" w:rsidRPr="0068073B">
              <w:rPr>
                <w:sz w:val="22"/>
              </w:rPr>
              <w:t xml:space="preserve">accepted </w:t>
            </w:r>
            <w:r w:rsidRPr="0068073B">
              <w:rPr>
                <w:sz w:val="22"/>
              </w:rPr>
              <w:t>end Terminal</w:t>
            </w:r>
            <w:r w:rsidR="0036014C" w:rsidRPr="0068073B">
              <w:rPr>
                <w:sz w:val="22"/>
              </w:rPr>
              <w:t xml:space="preserve">. </w:t>
            </w:r>
          </w:p>
          <w:p w:rsidR="0036014C" w:rsidRPr="0068073B" w:rsidRDefault="0036014C" w:rsidP="0036014C">
            <w:pPr>
              <w:rPr>
                <w:sz w:val="22"/>
              </w:rPr>
            </w:pPr>
          </w:p>
          <w:p w:rsidR="0036014C" w:rsidRPr="0068073B" w:rsidRDefault="0036014C" w:rsidP="0036014C">
            <w:pPr>
              <w:rPr>
                <w:sz w:val="22"/>
              </w:rPr>
            </w:pPr>
          </w:p>
          <w:p w:rsidR="0036014C" w:rsidRPr="0068073B" w:rsidRDefault="0036014C" w:rsidP="0036014C">
            <w:pPr>
              <w:jc w:val="center"/>
              <w:rPr>
                <w:b/>
                <w:sz w:val="22"/>
              </w:rPr>
            </w:pPr>
            <w:r w:rsidRPr="0068073B">
              <w:rPr>
                <w:b/>
                <w:sz w:val="22"/>
              </w:rPr>
              <w:t>FEATURES AND SPECIFICATIONS</w:t>
            </w:r>
          </w:p>
          <w:p w:rsidR="0036014C" w:rsidRPr="0068073B" w:rsidRDefault="0036014C" w:rsidP="0036014C">
            <w:pPr>
              <w:rPr>
                <w:sz w:val="22"/>
              </w:rPr>
            </w:pPr>
          </w:p>
          <w:p w:rsidR="00666CE9" w:rsidRPr="0068073B" w:rsidRDefault="00666CE9" w:rsidP="00666C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8073B">
              <w:rPr>
                <w:rFonts w:ascii="Times New Roman" w:hAnsi="Times New Roman"/>
              </w:rPr>
              <w:t>Positive work zone barrier protection</w:t>
            </w:r>
          </w:p>
          <w:p w:rsidR="00666CE9" w:rsidRPr="0068073B" w:rsidRDefault="00666CE9" w:rsidP="00666C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8073B">
              <w:rPr>
                <w:rFonts w:ascii="Times New Roman" w:hAnsi="Times New Roman"/>
              </w:rPr>
              <w:t>Exceptionally good vehicle capture and / or controlled penetration</w:t>
            </w:r>
          </w:p>
          <w:p w:rsidR="00666CE9" w:rsidRPr="0068073B" w:rsidRDefault="00666CE9" w:rsidP="00666C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8073B">
              <w:rPr>
                <w:rFonts w:ascii="Times New Roman" w:hAnsi="Times New Roman"/>
              </w:rPr>
              <w:t>Easily installed to ArmorZone™ TL-2 Barrier</w:t>
            </w:r>
          </w:p>
          <w:p w:rsidR="00666CE9" w:rsidRPr="0068073B" w:rsidRDefault="00666CE9" w:rsidP="00666C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8073B">
              <w:rPr>
                <w:rFonts w:ascii="Times New Roman" w:hAnsi="Times New Roman"/>
              </w:rPr>
              <w:t>Sacrificial after impact</w:t>
            </w:r>
          </w:p>
          <w:p w:rsidR="00666CE9" w:rsidRPr="0068073B" w:rsidRDefault="00666CE9" w:rsidP="00666C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8073B">
              <w:rPr>
                <w:rFonts w:ascii="Times New Roman" w:hAnsi="Times New Roman"/>
              </w:rPr>
              <w:t xml:space="preserve">Environmentally friendly – 100% recyclable </w:t>
            </w:r>
          </w:p>
          <w:p w:rsidR="00666CE9" w:rsidRPr="0068073B" w:rsidRDefault="00666CE9" w:rsidP="00666C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8073B">
              <w:rPr>
                <w:rFonts w:ascii="Times New Roman" w:hAnsi="Times New Roman"/>
              </w:rPr>
              <w:t>Tested to NCHRP 350 Criteria TL-2 for Crash Cushions</w:t>
            </w:r>
          </w:p>
          <w:p w:rsidR="00EB53EF" w:rsidRPr="0068073B" w:rsidRDefault="00EB53EF" w:rsidP="00EB5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8073B">
              <w:rPr>
                <w:rFonts w:ascii="Times New Roman" w:hAnsi="Times New Roman"/>
              </w:rPr>
              <w:t>Overall Length: 2160mm</w:t>
            </w:r>
            <w:r w:rsidR="009E3BE1">
              <w:rPr>
                <w:rFonts w:ascii="Times New Roman" w:hAnsi="Times New Roman"/>
              </w:rPr>
              <w:t xml:space="preserve"> </w:t>
            </w:r>
            <w:r w:rsidRPr="0068073B">
              <w:rPr>
                <w:rFonts w:ascii="Times New Roman" w:hAnsi="Times New Roman"/>
              </w:rPr>
              <w:t>(effective 2000mm)</w:t>
            </w:r>
          </w:p>
          <w:p w:rsidR="00EB53EF" w:rsidRPr="0068073B" w:rsidRDefault="00EB53EF" w:rsidP="00EB5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8073B">
              <w:rPr>
                <w:rFonts w:ascii="Times New Roman" w:hAnsi="Times New Roman"/>
              </w:rPr>
              <w:t xml:space="preserve">Height:  860mm; Width: 450mm </w:t>
            </w:r>
          </w:p>
          <w:p w:rsidR="00EB53EF" w:rsidRPr="0068073B" w:rsidRDefault="00EB53EF" w:rsidP="00EB5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8073B">
              <w:rPr>
                <w:rFonts w:ascii="Times New Roman" w:hAnsi="Times New Roman"/>
              </w:rPr>
              <w:t>Material: Stabilised PE (UV8)</w:t>
            </w:r>
          </w:p>
          <w:p w:rsidR="00EB53EF" w:rsidRPr="0068073B" w:rsidRDefault="00EB53EF" w:rsidP="00EB5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8073B">
              <w:rPr>
                <w:rFonts w:ascii="Times New Roman" w:hAnsi="Times New Roman"/>
              </w:rPr>
              <w:t>Weight</w:t>
            </w:r>
            <w:r w:rsidR="0068073B">
              <w:rPr>
                <w:rFonts w:ascii="Times New Roman" w:hAnsi="Times New Roman"/>
              </w:rPr>
              <w:t>:</w:t>
            </w:r>
            <w:r w:rsidRPr="0068073B">
              <w:rPr>
                <w:rFonts w:ascii="Times New Roman" w:hAnsi="Times New Roman"/>
              </w:rPr>
              <w:t xml:space="preserve"> 50kg;  Water Required: Nil</w:t>
            </w:r>
          </w:p>
          <w:p w:rsidR="00EB53EF" w:rsidRPr="0068073B" w:rsidRDefault="00EB53EF" w:rsidP="00EB5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8073B">
              <w:rPr>
                <w:rFonts w:ascii="Times New Roman" w:hAnsi="Times New Roman"/>
              </w:rPr>
              <w:t>Performance: Gating, Re-directive</w:t>
            </w:r>
          </w:p>
          <w:p w:rsidR="00EB53EF" w:rsidRPr="0068073B" w:rsidRDefault="00EB53EF" w:rsidP="00EB5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68073B">
              <w:rPr>
                <w:rFonts w:ascii="Times New Roman" w:hAnsi="Times New Roman"/>
              </w:rPr>
              <w:t>Clearzone</w:t>
            </w:r>
            <w:proofErr w:type="spellEnd"/>
            <w:r w:rsidRPr="0068073B">
              <w:rPr>
                <w:rFonts w:ascii="Times New Roman" w:hAnsi="Times New Roman"/>
              </w:rPr>
              <w:t>: 23m x 6m</w:t>
            </w:r>
          </w:p>
          <w:p w:rsidR="0036014C" w:rsidRPr="00666CE9" w:rsidRDefault="0036014C" w:rsidP="0036014C">
            <w:pPr>
              <w:rPr>
                <w:lang w:val="en-NZ"/>
              </w:rPr>
            </w:pPr>
          </w:p>
          <w:p w:rsidR="00E55326" w:rsidRDefault="00E55326" w:rsidP="0036014C"/>
          <w:p w:rsidR="00E55326" w:rsidRPr="0068073B" w:rsidRDefault="00E55326" w:rsidP="00E55326">
            <w:pPr>
              <w:jc w:val="center"/>
              <w:rPr>
                <w:b/>
                <w:sz w:val="22"/>
              </w:rPr>
            </w:pPr>
            <w:r w:rsidRPr="0068073B">
              <w:rPr>
                <w:b/>
                <w:sz w:val="22"/>
              </w:rPr>
              <w:t>APPROVALS</w:t>
            </w:r>
          </w:p>
          <w:p w:rsidR="00E55326" w:rsidRPr="0068073B" w:rsidRDefault="00E55326" w:rsidP="0036014C">
            <w:pPr>
              <w:rPr>
                <w:sz w:val="22"/>
              </w:rPr>
            </w:pPr>
          </w:p>
          <w:p w:rsidR="0036014C" w:rsidRPr="0068073B" w:rsidRDefault="0036014C" w:rsidP="0036014C">
            <w:pPr>
              <w:rPr>
                <w:sz w:val="22"/>
              </w:rPr>
            </w:pPr>
            <w:r w:rsidRPr="0068073B">
              <w:rPr>
                <w:sz w:val="22"/>
              </w:rPr>
              <w:t xml:space="preserve">FHWA Acceptance Letter:  </w:t>
            </w:r>
            <w:r w:rsidRPr="0068073B">
              <w:rPr>
                <w:b/>
                <w:sz w:val="22"/>
              </w:rPr>
              <w:t>CC-</w:t>
            </w:r>
            <w:r w:rsidR="0068073B" w:rsidRPr="0068073B">
              <w:rPr>
                <w:b/>
                <w:sz w:val="22"/>
              </w:rPr>
              <w:t>119</w:t>
            </w:r>
            <w:r w:rsidRPr="0068073B">
              <w:rPr>
                <w:sz w:val="22"/>
              </w:rPr>
              <w:t xml:space="preserve"> </w:t>
            </w:r>
          </w:p>
          <w:p w:rsidR="00A339C3" w:rsidRPr="0068073B" w:rsidRDefault="00A339C3">
            <w:pPr>
              <w:widowControl w:val="0"/>
              <w:rPr>
                <w:sz w:val="22"/>
              </w:rPr>
            </w:pPr>
          </w:p>
          <w:p w:rsidR="0036014C" w:rsidRPr="0068073B" w:rsidRDefault="0036014C">
            <w:pPr>
              <w:widowControl w:val="0"/>
              <w:rPr>
                <w:sz w:val="22"/>
              </w:rPr>
            </w:pPr>
          </w:p>
          <w:p w:rsidR="0036014C" w:rsidRPr="0068073B" w:rsidRDefault="0036014C" w:rsidP="0036014C">
            <w:pPr>
              <w:jc w:val="center"/>
              <w:rPr>
                <w:rFonts w:ascii="New roman" w:hAnsi="New roman"/>
                <w:b/>
                <w:sz w:val="22"/>
              </w:rPr>
            </w:pPr>
            <w:r w:rsidRPr="0068073B">
              <w:rPr>
                <w:rFonts w:ascii="New roman" w:hAnsi="New roman"/>
                <w:b/>
                <w:sz w:val="22"/>
              </w:rPr>
              <w:t>CONTACT INFORMATION</w:t>
            </w:r>
          </w:p>
          <w:p w:rsidR="0036014C" w:rsidRPr="0068073B" w:rsidRDefault="0036014C" w:rsidP="0036014C">
            <w:pPr>
              <w:rPr>
                <w:rFonts w:ascii="New roman" w:hAnsi="New roman"/>
                <w:sz w:val="22"/>
              </w:rPr>
            </w:pPr>
          </w:p>
          <w:p w:rsidR="006B7C51" w:rsidRPr="0068073B" w:rsidRDefault="006B7C51" w:rsidP="006B7C51">
            <w:pPr>
              <w:rPr>
                <w:rFonts w:ascii="New roman" w:hAnsi="New roman"/>
                <w:sz w:val="22"/>
              </w:rPr>
            </w:pPr>
            <w:r w:rsidRPr="0068073B">
              <w:rPr>
                <w:rFonts w:ascii="New roman" w:hAnsi="New roman"/>
                <w:sz w:val="22"/>
              </w:rPr>
              <w:t>Armorflex International LTD</w:t>
            </w:r>
          </w:p>
          <w:p w:rsidR="006B7C51" w:rsidRPr="0068073B" w:rsidRDefault="00A57153" w:rsidP="006B7C51">
            <w:pPr>
              <w:rPr>
                <w:rFonts w:ascii="New roman" w:hAnsi="New roman"/>
                <w:sz w:val="22"/>
              </w:rPr>
            </w:pPr>
            <w:hyperlink r:id="rId8" w:history="1">
              <w:r w:rsidR="006B7C51" w:rsidRPr="0068073B">
                <w:rPr>
                  <w:rStyle w:val="Hyperlink"/>
                  <w:rFonts w:ascii="New roman" w:hAnsi="New roman"/>
                  <w:sz w:val="22"/>
                </w:rPr>
                <w:t>www.armorflex.co.nz</w:t>
              </w:r>
            </w:hyperlink>
          </w:p>
          <w:p w:rsidR="006B7C51" w:rsidRPr="0068073B" w:rsidRDefault="006B7C51" w:rsidP="006B7C51">
            <w:pPr>
              <w:rPr>
                <w:rFonts w:ascii="New roman" w:hAnsi="New roman"/>
                <w:sz w:val="22"/>
              </w:rPr>
            </w:pPr>
            <w:r w:rsidRPr="0068073B">
              <w:rPr>
                <w:rFonts w:ascii="New roman" w:hAnsi="New roman"/>
                <w:sz w:val="22"/>
              </w:rPr>
              <w:t>Telephone: +64 9 4269174</w:t>
            </w:r>
          </w:p>
          <w:p w:rsidR="006B7C51" w:rsidRPr="0068073B" w:rsidRDefault="006B7C51" w:rsidP="006B7C51">
            <w:pPr>
              <w:rPr>
                <w:rFonts w:ascii="New roman" w:hAnsi="New roman"/>
                <w:sz w:val="22"/>
              </w:rPr>
            </w:pPr>
            <w:r w:rsidRPr="0068073B">
              <w:rPr>
                <w:rFonts w:ascii="New roman" w:hAnsi="New roman"/>
                <w:sz w:val="22"/>
              </w:rPr>
              <w:t>156 Foundry Rd</w:t>
            </w:r>
          </w:p>
          <w:p w:rsidR="006B7C51" w:rsidRPr="0068073B" w:rsidRDefault="006B7C51" w:rsidP="006B7C51">
            <w:pPr>
              <w:rPr>
                <w:rFonts w:ascii="New roman" w:hAnsi="New roman"/>
                <w:sz w:val="22"/>
              </w:rPr>
            </w:pPr>
            <w:r w:rsidRPr="0068073B">
              <w:rPr>
                <w:rFonts w:ascii="New roman" w:hAnsi="New roman"/>
                <w:sz w:val="22"/>
              </w:rPr>
              <w:t>Silverdale, Auckland 0932</w:t>
            </w:r>
          </w:p>
          <w:p w:rsidR="006B7C51" w:rsidRPr="0068073B" w:rsidRDefault="006B7C51" w:rsidP="006B7C51">
            <w:pPr>
              <w:rPr>
                <w:rFonts w:ascii="New roman" w:hAnsi="New roman"/>
                <w:sz w:val="22"/>
              </w:rPr>
            </w:pPr>
            <w:r w:rsidRPr="0068073B">
              <w:rPr>
                <w:rFonts w:ascii="New roman" w:hAnsi="New roman"/>
                <w:sz w:val="22"/>
              </w:rPr>
              <w:t>New Zealand</w:t>
            </w:r>
          </w:p>
          <w:p w:rsidR="00A339C3" w:rsidRPr="0036014C" w:rsidRDefault="00A339C3">
            <w:pPr>
              <w:widowControl w:val="0"/>
            </w:pPr>
          </w:p>
          <w:p w:rsidR="00A339C3" w:rsidRPr="0036014C" w:rsidRDefault="00A339C3">
            <w:pPr>
              <w:widowControl w:val="0"/>
            </w:pPr>
          </w:p>
          <w:p w:rsidR="00A339C3" w:rsidRPr="0036014C" w:rsidRDefault="00A339C3">
            <w:pPr>
              <w:widowControl w:val="0"/>
              <w:tabs>
                <w:tab w:val="left" w:pos="-1440"/>
                <w:tab w:val="left" w:pos="3600"/>
                <w:tab w:val="left" w:pos="5760"/>
              </w:tabs>
            </w:pPr>
          </w:p>
          <w:p w:rsidR="00A339C3" w:rsidRPr="0036014C" w:rsidRDefault="00015346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jc w:val="center"/>
            </w:pPr>
            <w:r w:rsidRPr="0036014C">
              <w:tab/>
            </w:r>
            <w:r w:rsidRPr="0036014C">
              <w:tab/>
            </w:r>
          </w:p>
          <w:p w:rsidR="00A339C3" w:rsidRPr="0036014C" w:rsidRDefault="00A339C3">
            <w:pPr>
              <w:widowControl w:val="0"/>
              <w:tabs>
                <w:tab w:val="left" w:pos="-1440"/>
                <w:tab w:val="left" w:pos="3600"/>
                <w:tab w:val="left" w:pos="5760"/>
              </w:tabs>
            </w:pPr>
          </w:p>
          <w:p w:rsidR="00A339C3" w:rsidRPr="0036014C" w:rsidRDefault="00015346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after="12"/>
              <w:rPr>
                <w:sz w:val="28"/>
              </w:rPr>
            </w:pPr>
            <w:r w:rsidRPr="0036014C">
              <w:tab/>
            </w:r>
          </w:p>
        </w:tc>
      </w:tr>
      <w:tr w:rsidR="00A339C3" w:rsidRPr="0036014C">
        <w:trPr>
          <w:cantSplit/>
          <w:trHeight w:hRule="exact" w:val="576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015346" w:rsidP="0050536E">
            <w:pPr>
              <w:pStyle w:val="Heading1"/>
              <w:rPr>
                <w:rFonts w:ascii="Times New Roman" w:hAnsi="Times New Roman" w:cs="Times New Roman"/>
                <w:sz w:val="32"/>
              </w:rPr>
            </w:pPr>
            <w:r w:rsidRPr="0036014C">
              <w:rPr>
                <w:rFonts w:ascii="Times New Roman" w:hAnsi="Times New Roman" w:cs="Times New Roman"/>
              </w:rPr>
              <w:tab/>
            </w:r>
            <w:r w:rsidR="0068073B" w:rsidRPr="0068073B">
              <w:rPr>
                <w:rFonts w:ascii="Times New Roman" w:hAnsi="Times New Roman" w:cs="Times New Roman"/>
                <w:sz w:val="32"/>
              </w:rPr>
              <w:t xml:space="preserve">ARMORZONE™ </w:t>
            </w:r>
            <w:r w:rsidR="0050536E">
              <w:rPr>
                <w:rFonts w:ascii="Times New Roman" w:hAnsi="Times New Roman" w:cs="Times New Roman"/>
                <w:sz w:val="32"/>
              </w:rPr>
              <w:t xml:space="preserve">END </w:t>
            </w:r>
            <w:r w:rsidR="0068073B">
              <w:rPr>
                <w:rFonts w:ascii="Times New Roman" w:hAnsi="Times New Roman" w:cs="Times New Roman"/>
                <w:sz w:val="32"/>
              </w:rPr>
              <w:t>TERMINAL</w:t>
            </w:r>
            <w:r w:rsidR="0050536E">
              <w:rPr>
                <w:rFonts w:ascii="Times New Roman" w:hAnsi="Times New Roman" w:cs="Times New Roman"/>
                <w:sz w:val="32"/>
              </w:rPr>
              <w:t xml:space="preserve"> TL-2</w:t>
            </w:r>
            <w:r w:rsidR="0068073B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A339C3" w:rsidRPr="0036014C">
        <w:trPr>
          <w:cantSplit/>
          <w:trHeight w:hRule="exact" w:val="720"/>
          <w:jc w:val="center"/>
        </w:trPr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36014C" w:rsidP="0068073B">
            <w:pPr>
              <w:widowControl w:val="0"/>
              <w:tabs>
                <w:tab w:val="center" w:pos="1440"/>
              </w:tabs>
              <w:spacing w:before="72" w:after="12"/>
              <w:jc w:val="center"/>
              <w:rPr>
                <w:sz w:val="32"/>
              </w:rPr>
            </w:pPr>
            <w:r>
              <w:rPr>
                <w:b/>
                <w:sz w:val="44"/>
              </w:rPr>
              <w:t>S</w:t>
            </w:r>
            <w:r w:rsidR="0068073B">
              <w:rPr>
                <w:b/>
                <w:sz w:val="44"/>
              </w:rPr>
              <w:t>CI29</w:t>
            </w:r>
          </w:p>
        </w:tc>
        <w:tc>
          <w:tcPr>
            <w:tcW w:w="691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36014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i/>
                <w:iCs/>
                <w:sz w:val="28"/>
              </w:rPr>
            </w:pPr>
            <w:r>
              <w:rPr>
                <w:noProof/>
                <w:lang w:val="en-NZ" w:eastAsia="en-NZ"/>
              </w:rPr>
              <w:drawing>
                <wp:anchor distT="0" distB="0" distL="114300" distR="114300" simplePos="0" relativeHeight="251659264" behindDoc="0" locked="0" layoutInCell="1" allowOverlap="1" wp14:anchorId="441CE33B" wp14:editId="23461E16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47625</wp:posOffset>
                  </wp:positionV>
                  <wp:extent cx="1931670" cy="788670"/>
                  <wp:effectExtent l="0" t="0" r="0" b="0"/>
                  <wp:wrapSquare wrapText="bothSides"/>
                  <wp:docPr id="1" name="Picture 2" descr="M:\New AI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New AI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3" t="20221" r="1666" b="17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7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39C3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015346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SHEET NO.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015346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DATE</w:t>
            </w:r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A339C3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  <w:tr w:rsidR="00A339C3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140AD8" w:rsidP="00140AD8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015346" w:rsidRPr="0036014C">
              <w:rPr>
                <w:sz w:val="22"/>
              </w:rPr>
              <w:t xml:space="preserve"> of </w:t>
            </w:r>
            <w:r>
              <w:rPr>
                <w:sz w:val="22"/>
              </w:rPr>
              <w:t>2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57153" w:rsidRDefault="00A57153" w:rsidP="00A57153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>
              <w:rPr>
                <w:sz w:val="22"/>
              </w:rPr>
              <w:t>07/10/2013</w:t>
            </w:r>
          </w:p>
          <w:p w:rsidR="00A339C3" w:rsidRPr="0036014C" w:rsidRDefault="00A339C3" w:rsidP="00140AD8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A339C3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</w:tbl>
    <w:p w:rsidR="00A339C3" w:rsidRPr="0036014C" w:rsidRDefault="00A339C3">
      <w:pPr>
        <w:widowControl w:val="0"/>
        <w:tabs>
          <w:tab w:val="left" w:pos="-1440"/>
          <w:tab w:val="left" w:pos="3600"/>
          <w:tab w:val="left" w:pos="5760"/>
        </w:tabs>
        <w:spacing w:line="0" w:lineRule="atLeast"/>
      </w:pPr>
    </w:p>
    <w:sectPr w:rsidR="00A339C3" w:rsidRPr="0036014C">
      <w:headerReference w:type="even" r:id="rId10"/>
      <w:headerReference w:type="default" r:id="rId11"/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pgSz w:w="12240" w:h="15840"/>
      <w:pgMar w:top="576" w:right="1296" w:bottom="662" w:left="864" w:header="576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9C3" w:rsidRDefault="00015346">
      <w:r>
        <w:separator/>
      </w:r>
    </w:p>
  </w:endnote>
  <w:endnote w:type="continuationSeparator" w:id="0">
    <w:p w:rsidR="00A339C3" w:rsidRDefault="0001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C3" w:rsidRDefault="00A339C3">
    <w:pPr>
      <w:widowControl w:val="0"/>
      <w:tabs>
        <w:tab w:val="left" w:pos="-1440"/>
        <w:tab w:val="left" w:pos="3600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C3" w:rsidRDefault="00A339C3">
    <w:pPr>
      <w:widowControl w:val="0"/>
      <w:tabs>
        <w:tab w:val="left" w:pos="-1440"/>
        <w:tab w:val="left" w:pos="3600"/>
        <w:tab w:val="left" w:pos="576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9C3" w:rsidRDefault="00015346">
      <w:r>
        <w:separator/>
      </w:r>
    </w:p>
  </w:footnote>
  <w:footnote w:type="continuationSeparator" w:id="0">
    <w:p w:rsidR="00A339C3" w:rsidRDefault="00015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C3" w:rsidRDefault="00A339C3">
    <w:pPr>
      <w:widowControl w:val="0"/>
      <w:tabs>
        <w:tab w:val="left" w:pos="-1440"/>
        <w:tab w:val="left" w:pos="3600"/>
        <w:tab w:val="left" w:pos="57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C3" w:rsidRDefault="00A339C3">
    <w:pPr>
      <w:widowControl w:val="0"/>
      <w:tabs>
        <w:tab w:val="left" w:pos="-1440"/>
        <w:tab w:val="left" w:pos="3600"/>
        <w:tab w:val="left" w:pos="5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078B1"/>
    <w:multiLevelType w:val="hybridMultilevel"/>
    <w:tmpl w:val="CFCC5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4C"/>
    <w:rsid w:val="00015346"/>
    <w:rsid w:val="00140AD8"/>
    <w:rsid w:val="002542D5"/>
    <w:rsid w:val="002B062B"/>
    <w:rsid w:val="0036014C"/>
    <w:rsid w:val="0050536E"/>
    <w:rsid w:val="005A74A0"/>
    <w:rsid w:val="00666CE9"/>
    <w:rsid w:val="0068073B"/>
    <w:rsid w:val="006B7C51"/>
    <w:rsid w:val="008430E5"/>
    <w:rsid w:val="009E3BE1"/>
    <w:rsid w:val="00A339C3"/>
    <w:rsid w:val="00A57153"/>
    <w:rsid w:val="00AB2D2B"/>
    <w:rsid w:val="00D135B4"/>
    <w:rsid w:val="00D61F9F"/>
    <w:rsid w:val="00E55326"/>
    <w:rsid w:val="00E83E05"/>
    <w:rsid w:val="00EB53EF"/>
    <w:rsid w:val="00ED7001"/>
    <w:rsid w:val="00F8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6B7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6B7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orflex.co.n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</vt:lpstr>
    </vt:vector>
  </TitlesOfParts>
  <Company>WPI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:creator>Weir</dc:creator>
  <cp:lastModifiedBy>Armando Morles</cp:lastModifiedBy>
  <cp:revision>9</cp:revision>
  <cp:lastPrinted>2013-07-09T22:02:00Z</cp:lastPrinted>
  <dcterms:created xsi:type="dcterms:W3CDTF">2013-06-24T20:22:00Z</dcterms:created>
  <dcterms:modified xsi:type="dcterms:W3CDTF">2013-07-16T02:45:00Z</dcterms:modified>
</cp:coreProperties>
</file>